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Name Surname: </w:t>
      </w:r>
      <w:r w:rsidDel="00000000" w:rsidR="00000000" w:rsidRPr="00000000">
        <w:rPr>
          <w:rtl w:val="0"/>
        </w:rPr>
        <w:t xml:space="preserve">Ceren Melahat Dönmezer Birand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Assist. Prof. Dr.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736"/>
        <w:gridCol w:w="3752"/>
        <w:gridCol w:w="899"/>
        <w:tblGridChange w:id="0">
          <w:tblGrid>
            <w:gridCol w:w="2177"/>
            <w:gridCol w:w="2736"/>
            <w:gridCol w:w="3752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Dentistry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2012-2017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Oral and Maxillifacial Surgery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2017-2022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849" w:hanging="408"/>
        <w:rPr/>
      </w:pPr>
      <w:r w:rsidDel="00000000" w:rsidR="00000000" w:rsidRPr="00000000">
        <w:rPr>
          <w:b w:val="1"/>
          <w:rtl w:val="0"/>
        </w:rPr>
        <w:t xml:space="preserve">PhD Thesis /Medical Specialty Thesis Title and Advisor(s):  </w:t>
      </w:r>
      <w:r w:rsidDel="00000000" w:rsidR="00000000" w:rsidRPr="00000000">
        <w:rPr>
          <w:rtl w:val="0"/>
        </w:rPr>
        <w:t xml:space="preserve">Comparison of the Effects of Local and Postoperative Systemic Antibiotic Treatments Applied with PRF in Wisdom-Over Surgeries (2022). Assoc. Prof. Dr. Kani Bilginaylar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Titles: </w:t>
      </w:r>
    </w:p>
    <w:p w:rsidR="00000000" w:rsidDel="00000000" w:rsidP="00000000" w:rsidRDefault="00000000" w:rsidRPr="00000000" w14:paraId="00000019">
      <w:pPr>
        <w:ind w:left="362" w:firstLine="0"/>
        <w:rPr/>
      </w:pPr>
      <w:r w:rsidDel="00000000" w:rsidR="00000000" w:rsidRPr="00000000">
        <w:rPr>
          <w:rtl w:val="0"/>
        </w:rPr>
        <w:t xml:space="preserve">Date of Assistant Professorship: 19 April 2023</w:t>
      </w:r>
    </w:p>
    <w:p w:rsidR="00000000" w:rsidDel="00000000" w:rsidP="00000000" w:rsidRDefault="00000000" w:rsidRPr="00000000" w14:paraId="0000001A">
      <w:pPr>
        <w:ind w:left="362" w:firstLine="0"/>
        <w:rPr/>
      </w:pPr>
      <w:r w:rsidDel="00000000" w:rsidR="00000000" w:rsidRPr="00000000">
        <w:rPr>
          <w:rtl w:val="0"/>
        </w:rPr>
        <w:t xml:space="preserve">Date of Associate Professorship: -</w:t>
      </w:r>
    </w:p>
    <w:p w:rsidR="00000000" w:rsidDel="00000000" w:rsidP="00000000" w:rsidRDefault="00000000" w:rsidRPr="00000000" w14:paraId="0000001B">
      <w:pPr>
        <w:ind w:left="362" w:firstLine="0"/>
        <w:rPr/>
      </w:pPr>
      <w:r w:rsidDel="00000000" w:rsidR="00000000" w:rsidRPr="00000000">
        <w:rPr>
          <w:rtl w:val="0"/>
        </w:rPr>
        <w:t xml:space="preserve">Date of Professorship: 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240" w:hanging="39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PhD Theses 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8.99999999999999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78.99999999999999" w:line="360" w:lineRule="auto"/>
        <w:ind w:left="849" w:right="420" w:hanging="5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Ceren Melahat Dönmezer, Kani Bilginaylar (2021). Comparison of the Postoperatif Effects of Local Antibiotic versus Systemic Antibiotic with the Use of Platelet-Rich Fibrin on Impacted Mandibular Third Molar Surgery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 Randomized Split-Mouth Study.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BioMed research international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  3040661.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https://doi.org/10.1155/2021/3040661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hanging="5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Erismen Agan, B., Uyanık, L. O., &amp; Donmezer, C. M. (2025). Comparison of the postoperative effect of low laser therapy and platelet rich fibrin on mandibular third molar surgery: a randomized study.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BMC oral health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(1), 427.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https://doi.org/10.1186/s12903-025-05828-3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Bilginaylar, K., Melahat Donmezer, C., &amp; Ozer Sehirli, A. (2025). In vitro studies support clinical trials showing platelet-rich fibrin-mediated local delivery of antibiotics improves outcomes in impacted mandibular third molar surgery.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Journal of drug targeting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33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(1), 87–98.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https://doi.org/10.1080/1061186X.2024.2396355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-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0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Bilginaylar K, Donmezer CM. Akut Oroantral Açıklıkların Kapatılmasında Bukkal Flep Kardırma Yöntemine Karşı Trombositten Zengin Fibrin Uygulamasının Klinik Sonuçlarının Karşılaştırılması (2018). TAOMS, 18. Uluslararası Diş Hekimliği Kongresi, KKTC. (Poster).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Bilginaylar K, Donmezer CM. Ters Gömülü Mandibular İkinci Premolar: Nadir Vaka Raporu (2018).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TDB 24. Uluslararası Diş Hekimliği Kongresi, Ankara.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(Poster).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Caymaz MG, Donmezer CM. Gömülü Mandibular İkinci Molar Çekimi (2019). TDB 25. Uluslararası Diş Hekimliği Kongresi, İstanbul (Poster).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Twana Hussein, Kani Bilginaylar, Beren Özsoy, Ceren Melahat Dönmezer, Damla Akşit Bıçak. Süt Azı Dişlerinin Erken Çekimine Bağlı Olarak Gelişen Maloklüzyonun Multidisipliner Olarak Rehabilitasyonu- Bir Olgu Sunumu (2020). Uluslararası Diş Hekimliği ve Sağlık Kongresi IDU-DENT (Poster).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Erismen B, Uyanık LO, Bilginaylar K, Donmezer CM. Maksiller Bukkal Eksostozların Estetik Olarak Cerrahi Müdahalesi: Vaka Raporu (2022). Necmettin Erbakan Üniversitesi Uluslararası Diş Hekimliği Kongresi (Poster).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Bilginaylar K, Caymaz MG, Donmezer CM. Ender Görülen Oral Lezyonda Tanı ve Tedavi: Vaka Raporu (2019). TDB 25. Uluslararası Diş Hekimliği Kongresi, İstanbul (Sözlü Sunum).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Bozdağan, Lokman Onur Uyanık, Ceren Melahat Dönmezer, Beste Erişmen. Mandibulada İntraosseöz Kanin Dişe Cerrahi Yaklaşım: Olgu Sunumu (2022). 29. Uluslararası Bilimsel Kongre ve Sergisi, İzmir (Poster).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Bozdoğan, Ceren Melahat Dönmezer, Beste Erişmen. Mandibulada Travmaya Bağlı Penetre olan Yabancı Cisme Cerrahi Yaklaşım: Olgu Sunumu (2022). 26. Uluslararasi Diş Hekimliği Kongresi (Poster).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İrem Çeler, Ceren Melahat Dönmezer Birand. Dekompresyon Sonrası Enükleasyon ile Dentigeröz Kist Yönetimi: Cerrahi Bir Yaklaşım (2025). 28. TDB Uluslararası Diş Hekimliği Kongresi, Diyarbakır (Poster).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İrem Çeler, Ceren Melahat Dönmezer Birand, Nezihe Sediral, Berk Bozdoğan, Beste Erişmen Ağan. Mandibula Posterior Bölgesindeki Lateral Periodontal Kistin Cerrahi Rehabilitasyonu (2025). 28. TDB Uluslararası Diş Hekimliği Kongresi, Diyarbakır (Poster).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Nezihe Sediral, Ceren Melahat Dönmezer Birand. Geç Dönem Oroantral Fistülün PRF Destekli Cerrahi Kapatılmasında Klinik Yaklaşım (2025). 28. TDB Uluslararası Diş Hekimliği Kongresi, Diyarbakır (Poster).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Delal Bozyel, Ceren Melahat Dönmezer Birand. Mevcut İmplantlar Her Zaman Kullanılmalı mı? Başarısızlıkla Sonuçlanan Bir Olgu Üzerinde Klinik Değerlendirme. (2025). 28. TDB Uluslararası Diş Hekimliği Kongresi, Diyarbakır (Sözlü Sunum).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3E">
      <w:pPr>
        <w:ind w:left="9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7.4.1-</w:t>
      </w:r>
    </w:p>
    <w:p w:rsidR="00000000" w:rsidDel="00000000" w:rsidP="00000000" w:rsidRDefault="00000000" w:rsidRPr="00000000" w14:paraId="0000003F">
      <w:pPr>
        <w:ind w:left="441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7.5.1.-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8.1.-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Near East University Faculty of Dentistry, Self-Assessment Board Member (2023-)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Cyprus Turkish Dental Association, Board Member, General Secretary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Near East University Faculty of Dentistry, 4th Year English Program Assistant Coordinator (2022-2023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Near East University Faculty of Dentistry, 1st Year English Program Coordinator (2023-2024)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Near East University Faculty of Dentistry, 3rd Year English Program Coordinator (2024-)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Medical Association (2017-)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Dental Association (KTDTO)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50.999999999999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Young Publication Research Award, Near East University (2022)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2979"/>
        <w:gridCol w:w="1152"/>
        <w:gridCol w:w="975"/>
        <w:gridCol w:w="1224"/>
        <w:tblGridChange w:id="0">
          <w:tblGrid>
            <w:gridCol w:w="1277"/>
            <w:gridCol w:w="1558"/>
            <w:gridCol w:w="2979"/>
            <w:gridCol w:w="1152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2023- 2024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 Local Anesthesia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DCR401 Oral and Maxillofacial Surgery Clinic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Systemic Diseases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Oral and Maxillofacial Surgery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4th Grade Theoretical Blocks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5th Grade Theoretical Blocks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Grade Theoretical Blocks – History of Dentistry Block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108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Local Anesthesia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Systemic Diseases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2" w:right="0" w:hanging="74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Oral and Maxillofacial Surgery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4th Grade Theoretical Blocks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18.9999999999999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47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Grade Theoretical Blocks – History of Dentistry Block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5th Grade Theoretical Blocks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9" w:right="0" w:hanging="131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6" w:right="361" w:hanging="47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DCR401 Oral and Maxillofacial Surgery Clinic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2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Update Date: 30 Oct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83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83C7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83C7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83C7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83C7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83C7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83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83C7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83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83C7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83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83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83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83C7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483C7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83C7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83C7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3C7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83C7A"/>
    <w:rPr>
      <w:b w:val="1"/>
      <w:bCs w:val="1"/>
      <w:smallCaps w:val="1"/>
      <w:color w:val="2f5496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cs="Calibri" w:eastAsia="Calibri" w:hAnsi="Calibri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 w:val="1"/>
    <w:rsid w:val="00483C7A"/>
    <w:pPr>
      <w:widowControl w:val="0"/>
      <w:autoSpaceDE w:val="0"/>
      <w:autoSpaceDN w:val="0"/>
      <w:spacing w:after="0" w:before="241" w:line="240" w:lineRule="auto"/>
      <w:ind w:left="849"/>
      <w:jc w:val="both"/>
    </w:pPr>
    <w:rPr>
      <w:rFonts w:ascii="Calibri" w:cs="Calibri" w:eastAsia="Calibri" w:hAnsi="Calibri"/>
      <w:kern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83C7A"/>
    <w:rPr>
      <w:rFonts w:ascii="Calibri" w:cs="Calibri" w:eastAsia="Calibri" w:hAnsi="Calibri"/>
      <w:kern w:val="0"/>
      <w:lang w:val="en-US"/>
    </w:rPr>
  </w:style>
  <w:style w:type="character" w:styleId="Hyperlink">
    <w:name w:val="Hyperlink"/>
    <w:basedOn w:val="DefaultParagraphFont"/>
    <w:uiPriority w:val="99"/>
    <w:unhideWhenUsed w:val="1"/>
    <w:rsid w:val="00E76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955D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i.org/10.1080/1061186X.2024.239635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155/2021/3040661" TargetMode="External"/><Relationship Id="rId8" Type="http://schemas.openxmlformats.org/officeDocument/2006/relationships/hyperlink" Target="https://doi.org/10.1186/s12903-025-05828-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mtf4yG+Bkjw+C2PPEfHsGaGNlQ==">CgMxLjA4AHIhMVJCMmU4LWQzVnFyN2xZT1dMV2Q1aXQwZHAwNTFxV1Ix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2025-05-05T13:04:00Z</dcterms:created>
  <dc:creator>Sc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