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center"/>
        <w:rPr>
          <w:b w:val="1"/>
          <w:bCs w:val="1"/>
        </w:rPr>
      </w:pPr>
      <w:r>
        <w:rPr>
          <w:b w:val="1"/>
          <w:bCs w:val="1"/>
          <w:sz w:val="28"/>
          <w:szCs w:val="28"/>
          <w:rtl w:val="0"/>
        </w:rPr>
        <w:t>CURRICULUM VITAE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de-DE"/>
        </w:rPr>
      </w:pPr>
      <w:r>
        <w:rPr>
          <w:b w:val="1"/>
          <w:bCs w:val="1"/>
          <w:rtl w:val="0"/>
          <w:lang w:val="de-DE"/>
        </w:rPr>
        <w:t xml:space="preserve">Name-Surname: </w:t>
      </w:r>
      <w:r>
        <w:rPr>
          <w:rtl w:val="0"/>
        </w:rPr>
        <w:t>Gizem ANDA</w:t>
      </w:r>
      <w:r>
        <w:rPr>
          <w:rtl w:val="0"/>
        </w:rPr>
        <w:t>Ç</w:t>
      </w:r>
      <w:r>
        <w:rPr>
          <w:rtl w:val="0"/>
        </w:rPr>
        <w:t xml:space="preserve"> </w:t>
      </w:r>
      <w:r>
        <w:rPr>
          <w:rtl w:val="0"/>
        </w:rPr>
        <w:t>YANAL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de-DE"/>
        </w:rPr>
      </w:pPr>
      <w:r>
        <w:rPr>
          <w:b w:val="1"/>
          <w:bCs w:val="1"/>
          <w:rtl w:val="0"/>
          <w:lang w:val="de-DE"/>
        </w:rPr>
        <w:t xml:space="preserve">Title: </w:t>
      </w:r>
      <w:r>
        <w:rPr>
          <w:rtl w:val="0"/>
        </w:rPr>
        <w:t>Assit. Prof. Dr.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Educational Background</w:t>
      </w:r>
      <w:r>
        <w:rPr>
          <w:b w:val="1"/>
          <w:bCs w:val="1"/>
          <w:rtl w:val="0"/>
        </w:rPr>
        <w:t xml:space="preserve">: </w:t>
      </w:r>
      <w:r>
        <w:rPr>
          <w:rtl w:val="0"/>
        </w:rPr>
        <w:t>PhD</w:t>
      </w:r>
    </w:p>
    <w:tbl>
      <w:tblPr>
        <w:tblW w:w="8702" w:type="dxa"/>
        <w:jc w:val="left"/>
        <w:tblInd w:w="4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045"/>
        <w:gridCol w:w="2977"/>
        <w:gridCol w:w="2693"/>
        <w:gridCol w:w="987"/>
      </w:tblGrid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Degree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Department/Program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University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Year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>Licence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Dentistry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Near East University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</w:rPr>
              <w:t>201</w:t>
            </w:r>
            <w:r>
              <w:rPr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Master of Science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Dentistry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Near East University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</w:rPr>
              <w:t>201</w:t>
            </w:r>
            <w:r>
              <w:rPr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Doctorate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Endodontic Dentistry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Near East University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</w:rPr>
              <w:t>202</w:t>
            </w:r>
            <w:r>
              <w:rPr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>Assistant professor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Endodontic Dentistry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Near East University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shd w:val="nil" w:color="auto" w:fill="auto"/>
                <w:rtl w:val="0"/>
              </w:rPr>
              <w:t>202</w:t>
            </w:r>
            <w:r>
              <w:rPr>
                <w:shd w:val="nil" w:color="auto" w:fill="auto"/>
                <w:rtl w:val="0"/>
              </w:rPr>
              <w:t>4</w:t>
            </w:r>
          </w:p>
        </w:tc>
      </w:tr>
    </w:tbl>
    <w:p>
      <w:pPr>
        <w:pStyle w:val="List Paragraph"/>
        <w:widowControl w:val="0"/>
        <w:numPr>
          <w:ilvl w:val="0"/>
          <w:numId w:val="3"/>
        </w:numPr>
        <w:spacing w:line="240" w:lineRule="auto"/>
      </w:pPr>
    </w:p>
    <w:p>
      <w:pPr>
        <w:pStyle w:val="Gövde"/>
        <w:rPr>
          <w:b w:val="1"/>
          <w:bCs w:val="1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Master's / Doctoral Theses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PhD Thesis Title and Advisor(s):</w:t>
      </w:r>
    </w:p>
    <w:p>
      <w:pPr>
        <w:pStyle w:val="List Paragraph"/>
        <w:ind w:left="756" w:firstLine="0"/>
      </w:pPr>
      <w:r>
        <w:rPr>
          <w:rtl w:val="0"/>
          <w:lang w:val="en-US"/>
        </w:rPr>
        <w:t>Impact of Different Access Cavity Designs and Ni-Ti Files on the Elimination of Enterococcus faecalis from the Root Canal System (2022). Assoc. Prof. Dr. Atakan Kalender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Academic Titles</w:t>
      </w:r>
    </w:p>
    <w:p>
      <w:pPr>
        <w:pStyle w:val="List Paragraph"/>
        <w:ind w:left="360" w:firstLine="0"/>
      </w:pPr>
      <w:r>
        <w:rPr>
          <w:b w:val="1"/>
          <w:bCs w:val="1"/>
          <w:rtl w:val="0"/>
        </w:rPr>
        <w:t xml:space="preserve">                    Assist. Prof. Dr.: </w:t>
      </w:r>
      <w:r>
        <w:rPr>
          <w:rtl w:val="0"/>
        </w:rPr>
        <w:t>09</w:t>
      </w:r>
      <w:r>
        <w:rPr>
          <w:rtl w:val="0"/>
        </w:rPr>
        <w:t>/0</w:t>
      </w:r>
      <w:r>
        <w:rPr>
          <w:rtl w:val="0"/>
        </w:rPr>
        <w:t>7</w:t>
      </w:r>
      <w:r>
        <w:rPr>
          <w:rtl w:val="0"/>
        </w:rPr>
        <w:t>/202</w:t>
      </w:r>
      <w:r>
        <w:rPr>
          <w:rtl w:val="0"/>
        </w:rPr>
        <w:t>4</w:t>
      </w:r>
    </w:p>
    <w:p>
      <w:pPr>
        <w:pStyle w:val="Gövde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Supervised Master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and PhD Theses</w:t>
      </w:r>
    </w:p>
    <w:p>
      <w:pPr>
        <w:pStyle w:val="List Paragraph"/>
        <w:ind w:left="360" w:firstLine="0"/>
      </w:pPr>
      <w:r>
        <w:rPr>
          <w:rtl w:val="0"/>
        </w:rPr>
        <w:t>-</w:t>
      </w:r>
    </w:p>
    <w:p>
      <w:pPr>
        <w:pStyle w:val="List Paragraph"/>
        <w:ind w:left="360" w:firstLine="0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Publications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 Articles Published in International Peer-Reviewed Journals (SCI,SSCI, AHCI, ESCI, Scopus)</w:t>
      </w:r>
    </w:p>
    <w:p>
      <w:pPr>
        <w:pStyle w:val="List Paragraph"/>
        <w:ind w:left="756" w:firstLine="0"/>
        <w:rPr>
          <w:b w:val="1"/>
          <w:bCs w:val="1"/>
        </w:rPr>
      </w:pPr>
    </w:p>
    <w:p>
      <w:pPr>
        <w:pStyle w:val="List Paragraph"/>
        <w:numPr>
          <w:ilvl w:val="2"/>
          <w:numId w:val="2"/>
        </w:numPr>
        <w:bidi w:val="0"/>
        <w:spacing w:before="240"/>
        <w:ind w:right="0"/>
        <w:jc w:val="left"/>
        <w:rPr>
          <w:rtl w:val="0"/>
          <w:lang w:val="es-ES_tradnl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>Andac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, G., </w:t>
      </w:r>
      <w:r>
        <w:rPr>
          <w:rtl w:val="0"/>
          <w:lang w:val="en-US"/>
        </w:rPr>
        <w:t xml:space="preserve">Kalender, A., Baddal, B., </w:t>
      </w:r>
      <w:r>
        <w:rPr>
          <w:rtl w:val="0"/>
        </w:rPr>
        <w:t>&amp; Basmaci, F. (2022).</w:t>
      </w:r>
      <w:r>
        <w:rPr>
          <w:rtl w:val="0"/>
          <w:lang w:val="en-US"/>
        </w:rPr>
        <w:t xml:space="preserve"> Impact of Different Access Cavity Designs and Ni</w:t>
      </w:r>
      <w:r>
        <w:rPr>
          <w:rtl w:val="0"/>
        </w:rPr>
        <w:t>–</w:t>
      </w:r>
      <w:r>
        <w:rPr>
          <w:rtl w:val="0"/>
          <w:lang w:val="en-US"/>
        </w:rPr>
        <w:t>Ti Files on the Elimination of Enterococcus faecalis from the Root Canal System: An In Vitro Study. Applied Sciences, 12(4), 2049.</w:t>
      </w:r>
    </w:p>
    <w:p>
      <w:pPr>
        <w:pStyle w:val="List Paragraph"/>
        <w:numPr>
          <w:ilvl w:val="2"/>
          <w:numId w:val="2"/>
        </w:numPr>
        <w:bidi w:val="0"/>
        <w:spacing w:before="240"/>
        <w:ind w:right="0"/>
        <w:jc w:val="left"/>
        <w:rPr>
          <w:rtl w:val="0"/>
        </w:rPr>
      </w:pPr>
      <w:r>
        <w:rPr>
          <w:rtl w:val="0"/>
        </w:rPr>
        <w:t xml:space="preserve">Abduljalil, M., </w:t>
      </w:r>
      <w:r>
        <w:rPr>
          <w:rFonts w:ascii="Times New Roman" w:hAnsi="Times New Roman"/>
          <w:b w:val="1"/>
          <w:bCs w:val="1"/>
          <w:rtl w:val="0"/>
          <w:lang w:val="it-IT"/>
        </w:rPr>
        <w:t>Andac, G.,</w:t>
      </w:r>
      <w:r>
        <w:rPr>
          <w:rtl w:val="0"/>
          <w:lang w:val="en-US"/>
        </w:rPr>
        <w:t xml:space="preserve"> &amp; Basmaci, F. (2023). Impacts of different Nickel</w:t>
      </w:r>
      <w:r>
        <w:rPr>
          <w:rtl w:val="0"/>
        </w:rPr>
        <w:t>–</w:t>
      </w:r>
      <w:r>
        <w:rPr>
          <w:rtl w:val="0"/>
          <w:lang w:val="en-US"/>
        </w:rPr>
        <w:t>Titanium rotary and reciprocating root canal preparation systems on the amount of apically extruded debris. Australian Endodontic Journal, 49, 308-314.</w:t>
      </w:r>
    </w:p>
    <w:p>
      <w:pPr>
        <w:pStyle w:val="List Paragraph"/>
        <w:numPr>
          <w:ilvl w:val="2"/>
          <w:numId w:val="2"/>
        </w:numPr>
        <w:bidi w:val="0"/>
        <w:spacing w:before="240"/>
        <w:ind w:right="0"/>
        <w:jc w:val="left"/>
        <w:rPr>
          <w:rtl w:val="0"/>
        </w:rPr>
      </w:pPr>
      <w:r>
        <w:rPr>
          <w:rtl w:val="0"/>
        </w:rPr>
        <w:t xml:space="preserve">Abduljalil, M., </w:t>
      </w:r>
      <w:r>
        <w:rPr>
          <w:rFonts w:ascii="Times New Roman" w:hAnsi="Times New Roman"/>
          <w:b w:val="1"/>
          <w:bCs w:val="1"/>
          <w:rtl w:val="0"/>
          <w:lang w:val="it-IT"/>
        </w:rPr>
        <w:t>Andac, G</w:t>
      </w:r>
      <w:r>
        <w:rPr>
          <w:rtl w:val="0"/>
          <w:lang w:val="en-US"/>
        </w:rPr>
        <w:t xml:space="preserve">., &amp; Basmaci, F. (2023). Response to Impacts of different Nickel-Titanium rotary and reciprocating root canal preparation systems on the amount of apically extruded </w:t>
      </w:r>
      <w:r>
        <w:rPr>
          <w:rtl w:val="0"/>
          <w:lang w:val="de-DE"/>
        </w:rPr>
        <w:t>debris'. AUSTRALIAN ENDODONTIC JOURNAL.</w:t>
      </w:r>
    </w:p>
    <w:p>
      <w:pPr>
        <w:pStyle w:val="List Paragraph"/>
        <w:bidi w:val="0"/>
        <w:spacing w:before="240"/>
        <w:ind w:left="0" w:right="0" w:firstLine="0"/>
        <w:jc w:val="left"/>
        <w:rPr>
          <w:rtl w:val="0"/>
        </w:rPr>
      </w:pPr>
    </w:p>
    <w:p>
      <w:pPr>
        <w:pStyle w:val="List Paragraph"/>
        <w:bidi w:val="0"/>
        <w:spacing w:before="240"/>
        <w:ind w:left="0" w:right="0" w:firstLine="0"/>
        <w:jc w:val="left"/>
        <w:rPr>
          <w:rtl w:val="0"/>
        </w:rPr>
      </w:pPr>
    </w:p>
    <w:p>
      <w:pPr>
        <w:pStyle w:val="List Paragraph"/>
        <w:ind w:left="1080" w:firstLine="0"/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Articles Published in Other International Peer-Reviewed Journals:</w:t>
      </w:r>
    </w:p>
    <w:p>
      <w:pPr>
        <w:pStyle w:val="List Paragraph"/>
        <w:ind w:left="756" w:firstLine="0"/>
      </w:pPr>
      <w:r>
        <w:rPr>
          <w:rtl w:val="0"/>
        </w:rPr>
        <w:t>-</w:t>
      </w:r>
    </w:p>
    <w:p>
      <w:pPr>
        <w:pStyle w:val="List Paragraph"/>
        <w:ind w:left="756" w:firstLine="0"/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Papers Presented at International Scientific Conferences and Published in Conference Proceedings </w:t>
      </w:r>
    </w:p>
    <w:p>
      <w:pPr>
        <w:pStyle w:val="List Paragraph"/>
        <w:ind w:left="756" w:firstLine="0"/>
        <w:rPr>
          <w:b w:val="1"/>
          <w:bCs w:val="1"/>
        </w:rPr>
      </w:pPr>
    </w:p>
    <w:p>
      <w:pPr>
        <w:pStyle w:val="List Paragraph"/>
        <w:numPr>
          <w:ilvl w:val="2"/>
          <w:numId w:val="5"/>
        </w:numPr>
        <w:bidi w:val="0"/>
        <w:spacing w:before="240" w:after="0"/>
        <w:ind w:right="0"/>
        <w:jc w:val="left"/>
        <w:rPr>
          <w:rtl w:val="0"/>
          <w:lang w:val="es-ES_tradnl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>Anda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  <w:lang w:val="de-DE"/>
        </w:rPr>
        <w:t>, G.,</w:t>
      </w:r>
      <w:r>
        <w:rPr>
          <w:rtl w:val="0"/>
          <w:lang w:val="en-US"/>
        </w:rPr>
        <w:t xml:space="preserve"> Kalender, A. (2019) Tri-antibiotic paste in endodontic retreatment after two non-surgical failure: report of a case. Asian Pacific Endodontic Confederation, </w:t>
      </w:r>
      <w:r>
        <w:rPr>
          <w:rtl w:val="0"/>
        </w:rPr>
        <w:t>İ</w:t>
      </w:r>
      <w:r>
        <w:rPr>
          <w:rtl w:val="0"/>
        </w:rPr>
        <w:t>stanbul 2019 (Poster)</w:t>
      </w:r>
    </w:p>
    <w:p>
      <w:pPr>
        <w:pStyle w:val="List Paragraph"/>
        <w:ind w:left="756" w:firstLine="0"/>
        <w:rPr>
          <w:b w:val="1"/>
          <w:bCs w:val="1"/>
        </w:rPr>
      </w:pPr>
    </w:p>
    <w:p>
      <w:pPr>
        <w:pStyle w:val="Gövde"/>
        <w:rPr>
          <w:b w:val="1"/>
          <w:bCs w:val="1"/>
        </w:rPr>
      </w:pPr>
    </w:p>
    <w:p>
      <w:pPr>
        <w:pStyle w:val="Gövde"/>
        <w:ind w:left="441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7.4. National/International Books or Book Chapters </w:t>
      </w:r>
    </w:p>
    <w:p>
      <w:pPr>
        <w:pStyle w:val="Gövde"/>
        <w:ind w:left="900" w:firstLine="0"/>
        <w:rPr>
          <w:b w:val="1"/>
          <w:bCs w:val="1"/>
        </w:rPr>
      </w:pPr>
      <w:r>
        <w:rPr>
          <w:b w:val="1"/>
          <w:bCs w:val="1"/>
          <w:rtl w:val="0"/>
        </w:rPr>
        <w:t xml:space="preserve">7.4.1. </w:t>
      </w:r>
      <w:r>
        <w:rPr>
          <w:rtl w:val="0"/>
        </w:rPr>
        <w:t xml:space="preserve">Orhan, K., Delantoni, A., </w:t>
      </w:r>
      <w:r>
        <w:rPr>
          <w:b w:val="1"/>
          <w:bCs w:val="1"/>
          <w:rtl w:val="0"/>
        </w:rPr>
        <w:t>K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rm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, D.</w:t>
      </w:r>
      <w:r>
        <w:rPr>
          <w:rtl w:val="0"/>
          <w:lang w:val="en-US"/>
        </w:rPr>
        <w:t>, &amp; Aksoy, U. (2024). Future Prospective. In Digital Dentistry: An Overview and Future Prospects (pp. 323-332). Cham: Springer International Publishing.</w:t>
      </w:r>
    </w:p>
    <w:p>
      <w:pPr>
        <w:pStyle w:val="List Paragraph"/>
        <w:ind w:left="360" w:firstLine="0"/>
        <w:rPr>
          <w:b w:val="1"/>
          <w:bCs w:val="1"/>
        </w:rPr>
      </w:pPr>
    </w:p>
    <w:p>
      <w:pPr>
        <w:pStyle w:val="Gövde"/>
        <w:ind w:left="441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7.5. Articles Published in National Peer-Reviewed Journals </w:t>
      </w:r>
    </w:p>
    <w:p>
      <w:pPr>
        <w:pStyle w:val="List Paragraph"/>
        <w:spacing w:before="240"/>
        <w:ind w:left="1080" w:firstLine="0"/>
      </w:pPr>
      <w:r>
        <w:rPr>
          <w:rtl w:val="0"/>
        </w:rPr>
        <w:t>-</w:t>
      </w:r>
    </w:p>
    <w:p>
      <w:pPr>
        <w:pStyle w:val="Gövde"/>
        <w:spacing w:before="240"/>
      </w:pPr>
      <w:r>
        <w:rPr>
          <w:b w:val="1"/>
          <w:bCs w:val="1"/>
          <w:rtl w:val="0"/>
          <w:lang w:val="en-US"/>
        </w:rPr>
        <w:t>8. Projects</w:t>
      </w:r>
    </w:p>
    <w:p>
      <w:pPr>
        <w:pStyle w:val="List Paragraph"/>
        <w:spacing w:before="240"/>
      </w:pP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Administrative Responsibilities </w:t>
      </w:r>
    </w:p>
    <w:p>
      <w:pPr>
        <w:pStyle w:val="List Paragraph"/>
        <w:ind w:left="360" w:firstLine="0"/>
      </w:pPr>
      <w:r>
        <w:rPr>
          <w:b w:val="1"/>
          <w:bCs w:val="1"/>
          <w:rtl w:val="0"/>
        </w:rPr>
        <w:t>9.1.</w:t>
      </w:r>
      <w:r>
        <w:rPr>
          <w:b w:val="1"/>
          <w:bCs w:val="1"/>
          <w:rtl w:val="0"/>
        </w:rPr>
        <w:t xml:space="preserve"> </w:t>
      </w:r>
      <w:r>
        <w:rPr>
          <w:rtl w:val="0"/>
          <w:lang w:val="en-US"/>
        </w:rPr>
        <w:t xml:space="preserve">Near East University Faculty of Dentistry, </w:t>
      </w:r>
      <w:r>
        <w:rPr>
          <w:rtl w:val="0"/>
        </w:rPr>
        <w:t>Curriculum Committee</w:t>
      </w:r>
      <w:r>
        <w:rPr>
          <w:rtl w:val="0"/>
          <w:lang w:val="en-US"/>
        </w:rPr>
        <w:t xml:space="preserve"> Board Member (202</w:t>
      </w:r>
      <w:r>
        <w:rPr>
          <w:rtl w:val="0"/>
        </w:rPr>
        <w:t>4</w:t>
      </w:r>
      <w:r>
        <w:rPr>
          <w:rtl w:val="0"/>
          <w:lang w:val="de-DE"/>
        </w:rPr>
        <w:t xml:space="preserve"> - )</w:t>
      </w:r>
    </w:p>
    <w:p>
      <w:pPr>
        <w:pStyle w:val="List Paragraph"/>
        <w:ind w:left="360" w:firstLine="0"/>
        <w:rPr>
          <w:b w:val="1"/>
          <w:bCs w:val="1"/>
        </w:rPr>
      </w:pPr>
    </w:p>
    <w:p>
      <w:pPr>
        <w:pStyle w:val="List Paragraph"/>
        <w:numPr>
          <w:ilvl w:val="0"/>
          <w:numId w:val="11"/>
        </w:numPr>
        <w:bidi w:val="0"/>
        <w:spacing w:after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Memberships to Scientific and Professional Organizations</w:t>
      </w:r>
    </w:p>
    <w:p>
      <w:pPr>
        <w:pStyle w:val="Gövde"/>
        <w:spacing w:after="0"/>
        <w:rPr>
          <w:b w:val="1"/>
          <w:bCs w:val="1"/>
        </w:rPr>
      </w:pPr>
      <w:r>
        <w:rPr>
          <w:b w:val="1"/>
          <w:bCs w:val="1"/>
          <w:rtl w:val="0"/>
        </w:rPr>
        <w:t xml:space="preserve">       10.1</w:t>
      </w:r>
      <w:r>
        <w:rPr>
          <w:rtl w:val="0"/>
          <w:lang w:val="en-US"/>
        </w:rPr>
        <w:t>. Cyprus Turkish Chamber of Dentists (201</w:t>
      </w:r>
      <w:r>
        <w:rPr>
          <w:rtl w:val="0"/>
        </w:rPr>
        <w:t>8</w:t>
      </w:r>
      <w:r>
        <w:rPr>
          <w:rtl w:val="0"/>
        </w:rPr>
        <w:t>-)</w:t>
      </w:r>
    </w:p>
    <w:p>
      <w:pPr>
        <w:pStyle w:val="Gövde"/>
      </w:pPr>
      <w:r>
        <w:rPr>
          <w:b w:val="1"/>
          <w:bCs w:val="1"/>
          <w:rtl w:val="0"/>
        </w:rPr>
        <w:t xml:space="preserve">       10.2.</w:t>
      </w:r>
      <w:r>
        <w:rPr>
          <w:rtl w:val="0"/>
          <w:lang w:val="en-US"/>
        </w:rPr>
        <w:t xml:space="preserve"> Cyprus Turkish Medical Association (201</w:t>
      </w:r>
      <w:r>
        <w:rPr>
          <w:rtl w:val="0"/>
        </w:rPr>
        <w:t>8</w:t>
      </w:r>
      <w:r>
        <w:rPr>
          <w:rtl w:val="0"/>
          <w:lang w:val="de-DE"/>
        </w:rPr>
        <w:t xml:space="preserve"> - )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Awards</w:t>
      </w:r>
    </w:p>
    <w:p>
      <w:pPr>
        <w:pStyle w:val="List Paragraph"/>
        <w:numPr>
          <w:ilvl w:val="1"/>
          <w:numId w:val="1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Near East University 20</w:t>
      </w:r>
      <w:r>
        <w:rPr>
          <w:rtl w:val="0"/>
        </w:rPr>
        <w:t>23-24</w:t>
      </w:r>
      <w:r>
        <w:rPr>
          <w:rtl w:val="0"/>
        </w:rPr>
        <w:t xml:space="preserve"> </w:t>
      </w:r>
      <w:r>
        <w:rPr>
          <w:rtl w:val="0"/>
        </w:rPr>
        <w:t>Young Educator Achievement</w:t>
      </w:r>
      <w:r>
        <w:rPr>
          <w:rtl w:val="0"/>
          <w:lang w:val="en-US"/>
        </w:rPr>
        <w:t xml:space="preserve"> Award (202</w:t>
      </w:r>
      <w:r>
        <w:rPr>
          <w:rtl w:val="0"/>
        </w:rPr>
        <w:t>4</w:t>
      </w:r>
      <w:r>
        <w:rPr>
          <w:rtl w:val="0"/>
        </w:rPr>
        <w:t>)</w:t>
      </w:r>
    </w:p>
    <w:p>
      <w:pPr>
        <w:pStyle w:val="List Paragraph"/>
        <w:ind w:left="851" w:firstLine="0"/>
      </w:pPr>
    </w:p>
    <w:p>
      <w:pPr>
        <w:pStyle w:val="List Paragraph"/>
        <w:ind w:left="851" w:firstLine="0"/>
      </w:pPr>
    </w:p>
    <w:p>
      <w:pPr>
        <w:pStyle w:val="List Paragraph"/>
        <w:ind w:left="851" w:firstLine="0"/>
      </w:pPr>
    </w:p>
    <w:p>
      <w:pPr>
        <w:pStyle w:val="List Paragraph"/>
        <w:ind w:left="851" w:firstLine="0"/>
      </w:pPr>
    </w:p>
    <w:p>
      <w:pPr>
        <w:pStyle w:val="List Paragraph"/>
        <w:ind w:left="851" w:firstLine="0"/>
      </w:pPr>
    </w:p>
    <w:p>
      <w:pPr>
        <w:pStyle w:val="List Paragraph"/>
        <w:ind w:left="851" w:firstLine="0"/>
      </w:pPr>
    </w:p>
    <w:p>
      <w:pPr>
        <w:pStyle w:val="List Paragraph"/>
        <w:ind w:left="851" w:firstLine="0"/>
      </w:pP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Undergraduate and Graduate Courses Taught in the Last Two Years</w:t>
      </w:r>
    </w:p>
    <w:p>
      <w:pPr>
        <w:pStyle w:val="List Paragraph"/>
        <w:ind w:left="360" w:firstLine="0"/>
        <w:rPr>
          <w:b w:val="1"/>
          <w:bCs w:val="1"/>
        </w:rPr>
      </w:pPr>
    </w:p>
    <w:tbl>
      <w:tblPr>
        <w:tblW w:w="8720" w:type="dxa"/>
        <w:jc w:val="left"/>
        <w:tblInd w:w="4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313"/>
        <w:gridCol w:w="992"/>
        <w:gridCol w:w="2845"/>
        <w:gridCol w:w="1044"/>
        <w:gridCol w:w="160"/>
        <w:gridCol w:w="1295"/>
        <w:gridCol w:w="160"/>
        <w:gridCol w:w="911"/>
      </w:tblGrid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3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Academic Year</w:t>
            </w:r>
          </w:p>
        </w:tc>
        <w:tc>
          <w:tcPr>
            <w:tcW w:type="dxa" w:w="99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Semester</w:t>
            </w:r>
          </w:p>
        </w:tc>
        <w:tc>
          <w:tcPr>
            <w:tcW w:type="dxa" w:w="284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Course Name</w:t>
            </w:r>
          </w:p>
        </w:tc>
        <w:tc>
          <w:tcPr>
            <w:tcW w:type="dxa" w:w="249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Weekly Hours</w:t>
            </w:r>
          </w:p>
        </w:tc>
        <w:tc>
          <w:tcPr>
            <w:tcW w:type="dxa" w:w="1070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Enrolled student number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3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8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Theoretical</w:t>
            </w:r>
          </w:p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Practical</w:t>
            </w:r>
          </w:p>
        </w:tc>
        <w:tc>
          <w:tcPr>
            <w:tcW w:type="dxa" w:w="107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662" w:hRule="atLeast"/>
        </w:trPr>
        <w:tc>
          <w:tcPr>
            <w:tcW w:type="dxa" w:w="1313"/>
            <w:vMerge w:val="restart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2023-2024</w:t>
            </w:r>
          </w:p>
          <w:p>
            <w:pPr>
              <w:pStyle w:val="List Paragraph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99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Fall</w:t>
            </w:r>
          </w:p>
        </w:tc>
        <w:tc>
          <w:tcPr>
            <w:tcW w:type="dxa" w:w="2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2. 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f Teorik Bloklar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ı 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Dental Doku Hastal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klar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ve Tedavileri - 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 xml:space="preserve"> Blo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ğ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u</w:t>
            </w:r>
          </w:p>
        </w:tc>
        <w:tc>
          <w:tcPr>
            <w:tcW w:type="dxa" w:w="1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6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shd w:val="nil" w:color="auto" w:fill="auto"/>
                <w:rtl w:val="0"/>
              </w:rPr>
              <w:t>-</w:t>
            </w:r>
          </w:p>
        </w:tc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  <w:rtl w:val="0"/>
              </w:rPr>
              <w:t>98</w:t>
            </w:r>
          </w:p>
        </w:tc>
      </w:tr>
      <w:tr>
        <w:tblPrEx>
          <w:shd w:val="clear" w:color="auto" w:fill="d0ddef"/>
        </w:tblPrEx>
        <w:trPr>
          <w:trHeight w:val="662" w:hRule="atLeast"/>
        </w:trPr>
        <w:tc>
          <w:tcPr>
            <w:tcW w:type="dxa" w:w="1313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2.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f Teorik Bloklar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 –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Dental Doku Hastal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klar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ve Tedavileri - I Blo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</w:t>
            </w:r>
          </w:p>
        </w:tc>
        <w:tc>
          <w:tcPr>
            <w:tcW w:type="dxa" w:w="1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6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  <w:rtl w:val="0"/>
              </w:rPr>
              <w:t>98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313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Spring</w:t>
            </w:r>
          </w:p>
        </w:tc>
        <w:tc>
          <w:tcPr>
            <w:tcW w:type="dxa" w:w="2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5. 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f Se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ç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meli Ders / Endodontic Uygulamalarda Minimal Invaziv Yakla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şı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mlar</w:t>
            </w:r>
          </w:p>
        </w:tc>
        <w:tc>
          <w:tcPr>
            <w:tcW w:type="dxa" w:w="1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6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50</w:t>
            </w:r>
          </w:p>
        </w:tc>
      </w:tr>
    </w:tbl>
    <w:p>
      <w:pPr>
        <w:pStyle w:val="List Paragraph"/>
        <w:widowControl w:val="0"/>
        <w:spacing w:line="240" w:lineRule="auto"/>
        <w:ind w:left="360" w:hanging="360"/>
        <w:rPr>
          <w:b w:val="1"/>
          <w:bCs w:val="1"/>
        </w:rPr>
      </w:pPr>
    </w:p>
    <w:p>
      <w:pPr>
        <w:pStyle w:val="List Paragraph"/>
        <w:widowControl w:val="0"/>
        <w:spacing w:line="240" w:lineRule="auto"/>
        <w:ind w:left="360" w:hanging="360"/>
        <w:rPr>
          <w:b w:val="1"/>
          <w:bCs w:val="1"/>
        </w:rPr>
      </w:pPr>
    </w:p>
    <w:p>
      <w:pPr>
        <w:pStyle w:val="List Paragraph"/>
        <w:ind w:left="360" w:firstLine="0"/>
        <w:rPr>
          <w:b w:val="1"/>
          <w:bCs w:val="1"/>
        </w:rPr>
      </w:pPr>
    </w:p>
    <w:tbl>
      <w:tblPr>
        <w:tblW w:w="9066" w:type="dxa"/>
        <w:jc w:val="left"/>
        <w:tblInd w:w="4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536"/>
        <w:gridCol w:w="821"/>
        <w:gridCol w:w="3024"/>
        <w:gridCol w:w="1178"/>
        <w:gridCol w:w="1571"/>
        <w:gridCol w:w="936"/>
      </w:tblGrid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536"/>
            <w:vMerge w:val="restart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2025-2026</w:t>
            </w:r>
          </w:p>
        </w:tc>
        <w:tc>
          <w:tcPr>
            <w:tcW w:type="dxa" w:w="8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Fall and Spring</w:t>
            </w:r>
          </w:p>
        </w:tc>
        <w:tc>
          <w:tcPr>
            <w:tcW w:type="dxa" w:w="3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 S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ı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ı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 Eri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ş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kin Entegre Klinik</w:t>
            </w:r>
          </w:p>
        </w:tc>
        <w:tc>
          <w:tcPr>
            <w:tcW w:type="dxa" w:w="1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shd w:val="nil" w:color="auto" w:fill="auto"/>
                <w:rtl w:val="0"/>
              </w:rPr>
              <w:t>-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shd w:val="nil" w:color="auto" w:fill="auto"/>
                <w:rtl w:val="0"/>
              </w:rPr>
              <w:t>20</w:t>
            </w:r>
          </w:p>
        </w:tc>
        <w:tc>
          <w:tcPr>
            <w:tcW w:type="dxa" w:w="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  <w:rtl w:val="0"/>
              </w:rPr>
              <w:t>84</w:t>
            </w:r>
          </w:p>
        </w:tc>
      </w:tr>
      <w:tr>
        <w:tblPrEx>
          <w:shd w:val="clear" w:color="auto" w:fill="d0ddef"/>
        </w:tblPrEx>
        <w:trPr>
          <w:trHeight w:val="360" w:hRule="atLeast"/>
        </w:trPr>
        <w:tc>
          <w:tcPr>
            <w:tcW w:type="dxa" w:w="1536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Year 5 - Adult Entegrated Clinic</w:t>
            </w:r>
          </w:p>
        </w:tc>
        <w:tc>
          <w:tcPr>
            <w:tcW w:type="dxa" w:w="1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  <w:rtl w:val="0"/>
              </w:rPr>
              <w:t>48</w:t>
            </w:r>
          </w:p>
        </w:tc>
      </w:tr>
      <w:tr>
        <w:tblPrEx>
          <w:shd w:val="clear" w:color="auto" w:fill="d0ddef"/>
        </w:tblPrEx>
        <w:trPr>
          <w:trHeight w:val="662" w:hRule="atLeast"/>
        </w:trPr>
        <w:tc>
          <w:tcPr>
            <w:tcW w:type="dxa" w:w="1536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Fall</w:t>
            </w:r>
          </w:p>
        </w:tc>
        <w:tc>
          <w:tcPr>
            <w:tcW w:type="dxa" w:w="3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2. 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f Teorik Bloklar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ı 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Dental Doku Hastal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klar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ve Tedavileri - I  Blo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ğ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u</w:t>
            </w:r>
          </w:p>
        </w:tc>
        <w:tc>
          <w:tcPr>
            <w:tcW w:type="dxa" w:w="1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shd w:val="nil" w:color="auto" w:fill="auto"/>
                <w:rtl w:val="0"/>
              </w:rPr>
              <w:t>-</w:t>
            </w:r>
          </w:p>
        </w:tc>
        <w:tc>
          <w:tcPr>
            <w:tcW w:type="dxa" w:w="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  <w:r>
              <w:rPr>
                <w:shd w:val="nil" w:color="auto" w:fill="auto"/>
                <w:rtl w:val="0"/>
              </w:rPr>
              <w:t>9</w:t>
            </w:r>
          </w:p>
        </w:tc>
      </w:tr>
      <w:tr>
        <w:tblPrEx>
          <w:shd w:val="clear" w:color="auto" w:fill="d0ddef"/>
        </w:tblPrEx>
        <w:trPr>
          <w:trHeight w:val="442" w:hRule="atLeast"/>
        </w:trPr>
        <w:tc>
          <w:tcPr>
            <w:tcW w:type="dxa" w:w="1536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3. 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f Teorik Bloklar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ı –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Muayene Blo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ğ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u</w:t>
            </w:r>
          </w:p>
        </w:tc>
        <w:tc>
          <w:tcPr>
            <w:tcW w:type="dxa" w:w="1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shd w:val="nil" w:color="auto" w:fill="auto"/>
                <w:rtl w:val="0"/>
              </w:rPr>
              <w:t>-</w:t>
            </w:r>
          </w:p>
        </w:tc>
        <w:tc>
          <w:tcPr>
            <w:tcW w:type="dxa" w:w="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  <w:rtl w:val="0"/>
              </w:rPr>
              <w:t>92</w:t>
            </w:r>
          </w:p>
        </w:tc>
      </w:tr>
      <w:tr>
        <w:tblPrEx>
          <w:shd w:val="clear" w:color="auto" w:fill="d0ddef"/>
        </w:tblPrEx>
        <w:trPr>
          <w:trHeight w:val="662" w:hRule="atLeast"/>
        </w:trPr>
        <w:tc>
          <w:tcPr>
            <w:tcW w:type="dxa" w:w="1536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Year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 Theoritical Committees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Diseases and Treatments of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Dental Tissues - I Committee</w:t>
            </w:r>
          </w:p>
        </w:tc>
        <w:tc>
          <w:tcPr>
            <w:tcW w:type="dxa" w:w="1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  <w:rtl w:val="0"/>
              </w:rPr>
              <w:t>1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shd w:val="nil" w:color="auto" w:fill="auto"/>
                <w:rtl w:val="0"/>
              </w:rPr>
              <w:t>-</w:t>
            </w:r>
          </w:p>
        </w:tc>
        <w:tc>
          <w:tcPr>
            <w:tcW w:type="dxa" w:w="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  <w:rtl w:val="0"/>
              </w:rPr>
              <w:t>99</w:t>
            </w:r>
          </w:p>
        </w:tc>
      </w:tr>
      <w:tr>
        <w:tblPrEx>
          <w:shd w:val="clear" w:color="auto" w:fill="d0ddef"/>
        </w:tblPrEx>
        <w:trPr>
          <w:trHeight w:val="662" w:hRule="atLeast"/>
        </w:trPr>
        <w:tc>
          <w:tcPr>
            <w:tcW w:type="dxa" w:w="1536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Spring</w:t>
            </w:r>
          </w:p>
        </w:tc>
        <w:tc>
          <w:tcPr>
            <w:tcW w:type="dxa" w:w="3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Year 2 Theoritical Committees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Dental Tissue Diseases and Treatments II Committee</w:t>
            </w:r>
          </w:p>
        </w:tc>
        <w:tc>
          <w:tcPr>
            <w:tcW w:type="dxa" w:w="1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  <w:rtl w:val="0"/>
              </w:rPr>
              <w:t>1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shd w:val="nil" w:color="auto" w:fill="auto"/>
                <w:rtl w:val="0"/>
              </w:rPr>
              <w:t>-</w:t>
            </w:r>
          </w:p>
        </w:tc>
        <w:tc>
          <w:tcPr>
            <w:tcW w:type="dxa" w:w="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  <w:rtl w:val="0"/>
              </w:rPr>
              <w:t>99</w:t>
            </w:r>
          </w:p>
        </w:tc>
      </w:tr>
      <w:tr>
        <w:tblPrEx>
          <w:shd w:val="clear" w:color="auto" w:fill="d0ddef"/>
        </w:tblPrEx>
        <w:trPr>
          <w:trHeight w:val="442" w:hRule="atLeast"/>
        </w:trPr>
        <w:tc>
          <w:tcPr>
            <w:tcW w:type="dxa" w:w="1536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Year 5 Elective Course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Pain Management in Dentistry</w:t>
            </w:r>
          </w:p>
        </w:tc>
        <w:tc>
          <w:tcPr>
            <w:tcW w:type="dxa" w:w="1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  <w:rtl w:val="0"/>
              </w:rPr>
              <w:t>2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  <w:tc>
          <w:tcPr>
            <w:tcW w:type="dxa" w:w="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  <w:rtl w:val="0"/>
              </w:rPr>
              <w:t>15</w:t>
            </w:r>
          </w:p>
        </w:tc>
      </w:tr>
    </w:tbl>
    <w:p>
      <w:pPr>
        <w:pStyle w:val="List Paragraph"/>
        <w:widowControl w:val="0"/>
        <w:spacing w:line="240" w:lineRule="auto"/>
        <w:ind w:left="360" w:hanging="360"/>
        <w:rPr>
          <w:b w:val="1"/>
          <w:bCs w:val="1"/>
        </w:rPr>
      </w:pPr>
    </w:p>
    <w:p>
      <w:pPr>
        <w:pStyle w:val="List Paragraph"/>
        <w:ind w:left="360" w:firstLine="0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  <w:jc w:val="right"/>
    </w:pPr>
    <w:r>
      <w:rPr>
        <w:rtl w:val="0"/>
        <w:lang w:val="en-US"/>
      </w:rPr>
      <w:t>Updated: 0</w:t>
    </w:r>
    <w:r>
      <w:rPr>
        <w:rtl w:val="0"/>
      </w:rPr>
      <w:t>9</w:t>
    </w:r>
    <w:r>
      <w:rPr>
        <w:rtl w:val="0"/>
      </w:rPr>
      <w:t>.04.2026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2 Stili"/>
  </w:abstractNum>
  <w:abstractNum w:abstractNumId="3">
    <w:multiLevelType w:val="hybridMultilevel"/>
    <w:styleLink w:val="İçe Aktarılan 2 Stili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40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816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864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272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32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728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776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2184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İçe Aktarılan 3 Stili"/>
  </w:abstractNum>
  <w:abstractNum w:abstractNumId="5">
    <w:multiLevelType w:val="hybridMultilevel"/>
    <w:styleLink w:val="İçe Aktarılan 3 Stili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993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left" w:pos="993"/>
        </w:tabs>
        <w:ind w:left="985" w:hanging="5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993"/>
        </w:tabs>
        <w:ind w:left="985" w:hanging="5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993"/>
        </w:tabs>
        <w:ind w:left="99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993"/>
        </w:tabs>
        <w:ind w:left="99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993"/>
        </w:tabs>
        <w:ind w:left="99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993"/>
        </w:tabs>
        <w:ind w:left="99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993"/>
        </w:tabs>
        <w:ind w:left="99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756"/>
          </w:tabs>
          <w:ind w:left="11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440"/>
          </w:tabs>
          <w:ind w:left="18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tabs>
            <w:tab w:val="num" w:pos="1800"/>
          </w:tabs>
          <w:ind w:left="21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2520"/>
          </w:tabs>
          <w:ind w:left="288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tabs>
            <w:tab w:val="num" w:pos="2880"/>
          </w:tabs>
          <w:ind w:left="32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3600"/>
          </w:tabs>
          <w:ind w:left="39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tabs>
            <w:tab w:val="num" w:pos="3960"/>
          </w:tabs>
          <w:ind w:left="432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4680"/>
          </w:tabs>
          <w:ind w:left="504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56" w:hanging="3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13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49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2214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2574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329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365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4374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2"/>
  </w:num>
  <w:num w:numId="8">
    <w:abstractNumId w:val="2"/>
    <w:lvlOverride w:ilvl="0">
      <w:startOverride w:val="9"/>
    </w:lvlOverride>
  </w:num>
  <w:num w:numId="9">
    <w:abstractNumId w:val="5"/>
  </w:num>
  <w:num w:numId="10">
    <w:abstractNumId w:val="4"/>
  </w:num>
  <w:num w:numId="11">
    <w:abstractNumId w:val="4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numbering" w:styleId="İçe Aktarılan 2 Stili">
    <w:name w:val="İçe Aktarılan 2 Stili"/>
    <w:pPr>
      <w:numPr>
        <w:numId w:val="6"/>
      </w:numPr>
    </w:pPr>
  </w:style>
  <w:style w:type="numbering" w:styleId="İçe Aktarılan 3 Stili">
    <w:name w:val="İçe Aktarılan 3 Stili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