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Name Surname:  </w:t>
      </w:r>
      <w:r w:rsidDel="00000000" w:rsidR="00000000" w:rsidRPr="00000000">
        <w:rPr>
          <w:rtl w:val="0"/>
        </w:rPr>
        <w:t xml:space="preserve">Beste Erişmen Ağan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Assistant Professor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Faculty of 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2013-2019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Oral and Maxillofacial Surgery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849" w:hanging="408"/>
        <w:rPr/>
      </w:pPr>
      <w:r w:rsidDel="00000000" w:rsidR="00000000" w:rsidRPr="00000000">
        <w:rPr>
          <w:b w:val="1"/>
          <w:rtl w:val="0"/>
        </w:rPr>
        <w:t xml:space="preserve">PhD Thesis /Medical Specialty Thesis Title and Advisor(s): </w:t>
      </w:r>
      <w:r w:rsidDel="00000000" w:rsidR="00000000" w:rsidRPr="00000000">
        <w:rPr>
          <w:rtl w:val="0"/>
        </w:rPr>
        <w:t xml:space="preserve">Comparison of the effects of local and postoperative systemic antibiotic treatments administered with PRF in 20-year-old surgeries. Advisor: Assoc. Prof. Dr. L. Onut Uyanık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Academic Titles: </w:t>
        <w:br w:type="textWrapping"/>
      </w:r>
      <w:r w:rsidDel="00000000" w:rsidR="00000000" w:rsidRPr="00000000">
        <w:rPr>
          <w:rtl w:val="0"/>
        </w:rPr>
        <w:t xml:space="preserve">   Date of Asisstant Professorhip : 30.09.2025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240" w:hanging="39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PhD Theses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2" w:firstLine="0"/>
        <w:rPr/>
      </w:pPr>
      <w:r w:rsidDel="00000000" w:rsidR="00000000" w:rsidRPr="00000000">
        <w:rPr>
          <w:color w:val="212121"/>
          <w:highlight w:val="white"/>
          <w:rtl w:val="0"/>
        </w:rPr>
        <w:t xml:space="preserve">Erismen Agan, B., Uyanık, L. O., &amp; Donmezer, C. M. (2025). Comparison of the postoperative effect of low laser therapy and platelet rich fibrin on mandibular third molar surgery: a randomized study. </w:t>
      </w:r>
      <w:r w:rsidDel="00000000" w:rsidR="00000000" w:rsidRPr="00000000">
        <w:rPr>
          <w:i w:val="1"/>
          <w:color w:val="212121"/>
          <w:highlight w:val="white"/>
          <w:rtl w:val="0"/>
        </w:rPr>
        <w:t xml:space="preserve">BMC oral health</w:t>
      </w:r>
      <w:r w:rsidDel="00000000" w:rsidR="00000000" w:rsidRPr="00000000">
        <w:rPr>
          <w:color w:val="212121"/>
          <w:highlight w:val="white"/>
          <w:rtl w:val="0"/>
        </w:rPr>
        <w:t xml:space="preserve">, </w:t>
      </w:r>
      <w:r w:rsidDel="00000000" w:rsidR="00000000" w:rsidRPr="00000000">
        <w:rPr>
          <w:i w:val="1"/>
          <w:color w:val="212121"/>
          <w:highlight w:val="white"/>
          <w:rtl w:val="0"/>
        </w:rPr>
        <w:t xml:space="preserve">25</w:t>
      </w:r>
      <w:r w:rsidDel="00000000" w:rsidR="00000000" w:rsidRPr="00000000">
        <w:rPr>
          <w:color w:val="212121"/>
          <w:highlight w:val="white"/>
          <w:rtl w:val="0"/>
        </w:rPr>
        <w:t xml:space="preserve">(1), 427. </w:t>
      </w:r>
      <w:hyperlink r:id="rId7">
        <w:r w:rsidDel="00000000" w:rsidR="00000000" w:rsidRPr="00000000">
          <w:rPr>
            <w:color w:val="0563c1"/>
            <w:highlight w:val="white"/>
            <w:u w:val="single"/>
            <w:rtl w:val="0"/>
          </w:rPr>
          <w:t xml:space="preserve">https://doi.org/10.1186/s12903-025-05828-3</w:t>
        </w:r>
      </w:hyperlink>
      <w:r w:rsidDel="00000000" w:rsidR="00000000" w:rsidRPr="00000000">
        <w:rPr>
          <w:color w:val="0563c1"/>
          <w:highlight w:val="white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Date of Assistant Professorship: 19 April 2023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0" w:line="360" w:lineRule="auto"/>
        <w:ind w:left="849" w:right="423" w:hanging="59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Erismen B, Uyanık LO, Bilginaylar K, Donmezer CM. Maksiller Bukkal Eksostozların Estetik Olarak Cerrahi Müdahalesi: Vaka Raporu (2022). Necmettin Erbakan Üniversitesi Uluslararası Diş Hekimliği Kongresi (Poster).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Bozdağan, Lokman Onur Uyanık, Ceren Melahat Dönmezer, Beste Erişmen. Mandibulada İntraosseöz Kanin Dişe Cerrahi Yaklaşım: Olgu Sunumu (2022). 29. Uluslararası Bilimsel Kongre ve Sergisi, İzmir (Poster).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Bozdoğan, Ceren Melahat Dönmezer, Beste Erişmen. Mandibulada Travmaya Bağlı Penetre olan Yabancı Cisme Cerrahi Yaklaşım: Olgu Sunumu (2022). 26. Uluslararasi Diş Hekimliği Kongresi (Poster).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İrem Çeler, Ceren Melahat Dönmezer Birand, Nezihe Sediral, Berk Bozdoğan, Beste Erişmen Ağan. Mandibula Posterior Bölgesindeki Lateral Periodontal Kistin Cerrahi Rehabilitasyonu (2025). 28. TDB Uluslararası Diş Hekimliği Kongresi, Diyarbakır (Poster).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Delal Bozyel, Obeida Mdagmesh, Beste Erişmen. İmplant Tedavisi ve Dikey Boyutun Yeniden Oluşturulmasıyla Tam Ağız Rehabilitasyonu ‘ Full Mouth Rehabilitation Through Treatment and Vertical Dimension Re- establishment (2025). 28. TDB Uluslararası Diş Hekimliği Kongresi, Diyarbakır (Poster).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33">
      <w:pPr>
        <w:ind w:left="9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7.4.1</w:t>
      </w:r>
    </w:p>
    <w:p w:rsidR="00000000" w:rsidDel="00000000" w:rsidP="00000000" w:rsidRDefault="00000000" w:rsidRPr="00000000" w14:paraId="00000034">
      <w:pPr>
        <w:ind w:left="441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7.5.1.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Eğitim Programı Komisyonu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2. Sınıf Türkçe Program Koordinatör Yardımcılığı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Ölçme  ve Değerlendirme Komisyonu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50.999999999999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2979"/>
        <w:gridCol w:w="1152"/>
        <w:gridCol w:w="975"/>
        <w:gridCol w:w="1224"/>
        <w:tblGridChange w:id="0">
          <w:tblGrid>
            <w:gridCol w:w="1277"/>
            <w:gridCol w:w="1558"/>
            <w:gridCol w:w="2979"/>
            <w:gridCol w:w="1152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Grade Theoretical Blocks – History of Dentistry Block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106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4th Grade Theoretical Blocks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Systemic Diseases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Oral and Maxillofacial Surgery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Grade Theoretical Blocks: Local Anesthesia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 528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s80757l376rb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2" w:right="0" w:hanging="74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18.9999999999999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9" w:right="0" w:hanging="131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6" w:right="361" w:hanging="47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7f7f7f"/>
      </w:rPr>
    </w:pPr>
    <w:r w:rsidDel="00000000" w:rsidR="00000000" w:rsidRPr="00000000">
      <w:rPr>
        <w:color w:val="7f7f7f"/>
        <w:rtl w:val="0"/>
      </w:rPr>
      <w:t xml:space="preserve">Güncelleme tarihi: 31/10/2025</w:t>
    </w:r>
  </w:p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83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83C7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83C7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83C7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83C7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83C7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83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83C7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83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83C7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83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83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83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83C7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483C7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83C7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83C7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3C7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83C7A"/>
    <w:rPr>
      <w:b w:val="1"/>
      <w:bCs w:val="1"/>
      <w:smallCaps w:val="1"/>
      <w:color w:val="2f5496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cs="Calibri" w:eastAsia="Calibri" w:hAnsi="Calibri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 w:val="1"/>
    <w:rsid w:val="00483C7A"/>
    <w:pPr>
      <w:widowControl w:val="0"/>
      <w:autoSpaceDE w:val="0"/>
      <w:autoSpaceDN w:val="0"/>
      <w:spacing w:after="0" w:before="241" w:line="240" w:lineRule="auto"/>
      <w:ind w:left="849"/>
      <w:jc w:val="both"/>
    </w:pPr>
    <w:rPr>
      <w:rFonts w:ascii="Calibri" w:cs="Calibri" w:eastAsia="Calibri" w:hAnsi="Calibri"/>
      <w:kern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83C7A"/>
    <w:rPr>
      <w:rFonts w:ascii="Calibri" w:cs="Calibri" w:eastAsia="Calibri" w:hAnsi="Calibri"/>
      <w:kern w:val="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B41428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B41428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B414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186/s12903-025-05828-3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STgJpVOoTvlkrLmjoo5yeyfNw==">CgMxLjAyDmguczgwNzU3bDM3NnJiOAByITFPSExmOGh3NlBabjZ5dlFTbkVoQWtOV0doamk4LUo2Xw==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2025-10-30T13:06:00Z</dcterms:created>
  <dc:creator>Sc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