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64" w:lineRule="auto"/>
        <w:ind w:left="0" w:right="283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AKADEMİK ÖZGEÇMİŞ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360" w:right="0" w:hanging="219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Adı Soyadı: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MOHAMAD TALAL RADWAN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2"/>
        </w:tabs>
        <w:spacing w:after="0" w:before="1" w:line="240" w:lineRule="auto"/>
        <w:ind w:left="362" w:right="0" w:hanging="221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Unvanı: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Yrd. Doç. Dr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numPr>
          <w:ilvl w:val="0"/>
          <w:numId w:val="2"/>
        </w:numPr>
        <w:tabs>
          <w:tab w:val="left" w:leader="none" w:pos="362"/>
        </w:tabs>
        <w:ind w:left="362" w:hanging="221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Öğrenim Durumu: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64.0" w:type="dxa"/>
        <w:jc w:val="left"/>
        <w:tblInd w:w="41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77"/>
        <w:gridCol w:w="2610"/>
        <w:gridCol w:w="3878"/>
        <w:gridCol w:w="899"/>
        <w:tblGridChange w:id="0">
          <w:tblGrid>
            <w:gridCol w:w="2177"/>
            <w:gridCol w:w="2610"/>
            <w:gridCol w:w="3878"/>
            <w:gridCol w:w="899"/>
          </w:tblGrid>
        </w:tblGridChange>
      </w:tblGrid>
      <w:tr>
        <w:trPr>
          <w:cantSplit w:val="0"/>
          <w:trHeight w:val="404" w:hRule="atLeast"/>
          <w:tblHeader w:val="0"/>
        </w:trPr>
        <w:tc>
          <w:tcPr>
            <w:tcBorders>
              <w:bottom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Derece</w:t>
            </w:r>
          </w:p>
        </w:tc>
        <w:tc>
          <w:tcPr>
            <w:tcBorders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6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Bölüm/Program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Üniversite</w:t>
            </w:r>
          </w:p>
        </w:tc>
        <w:tc>
          <w:tcPr>
            <w:tcBorders>
              <w:left w:color="000000" w:space="0" w:sz="4" w:val="single"/>
              <w:bottom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Yıl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6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Lisans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6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Diş Hekimliği</w:t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KALAMOON </w:t>
            </w:r>
            <w:r w:rsidDel="00000000" w:rsidR="00000000" w:rsidRPr="00000000">
              <w:rPr>
                <w:rtl w:val="0"/>
              </w:rPr>
              <w:t xml:space="preserve">UNİVERSİTY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7" w:lineRule="auto"/>
              <w:ind w:left="10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2015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Doktora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Ortodontı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1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Yakın Doğu Üniversitesi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1" w:line="240" w:lineRule="auto"/>
              <w:ind w:left="10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2022</w:t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1" w:line="240" w:lineRule="auto"/>
        <w:ind w:left="360" w:right="0" w:hanging="21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Yüksek Lisans / Doktora Tezi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Calibri" w:cs="Calibri" w:eastAsia="Calibri" w:hAnsi="Calibri"/>
          <w:color w:val="1a0dab"/>
          <w:highlight w:val="white"/>
        </w:rPr>
      </w:pPr>
      <w:bookmarkStart w:colFirst="0" w:colLast="0" w:name="_heading=h.4zm4ngctt7dj" w:id="0"/>
      <w:bookmarkEnd w:id="0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Doktora Tezi Başlığı ve Danışman(lar)ı: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Artifıcial Intelligence-Based Algorithm For Cervical Vertebrae Maturation Stage Assessment - </w:t>
      </w:r>
      <w:hyperlink r:id="rId7">
        <w:r w:rsidDel="00000000" w:rsidR="00000000" w:rsidRPr="00000000">
          <w:rPr>
            <w:rFonts w:ascii="Calibri" w:cs="Calibri" w:eastAsia="Calibri" w:hAnsi="Calibri"/>
            <w:rtl w:val="0"/>
          </w:rPr>
          <w:t xml:space="preserve">Doç. Dr. Levent Vahdettin </w:t>
        </w:r>
      </w:hyperlink>
      <w:r w:rsidDel="00000000" w:rsidR="00000000" w:rsidRPr="00000000">
        <w:fldChar w:fldCharType="begin"/>
        <w:instrText xml:space="preserve"> HYPERLINK "https://ciu.edu.tr/tr/dis-hekimligi-fakultesi/levent-vahdettin"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color w:val="1a0dab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color w:val="1a0dab"/>
          <w:highlight w:val="white"/>
          <w:rtl w:val="0"/>
        </w:rPr>
        <w:br w:type="textWrapping"/>
      </w:r>
      <w:r w:rsidDel="00000000" w:rsidR="00000000" w:rsidRPr="00000000">
        <w:fldChar w:fldCharType="end"/>
      </w:r>
      <w:r w:rsidDel="00000000" w:rsidR="00000000" w:rsidRPr="00000000">
        <w:fldChar w:fldCharType="begin"/>
        <w:instrText xml:space="preserve"> HYPERLINK "https://ciu.edu.tr/tr/dis-hekimligi-fakultesi/levent-vahdettin" </w:instrText>
        <w:fldChar w:fldCharType="separat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0" w:line="240" w:lineRule="auto"/>
        <w:ind w:left="1237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fldChar w:fldCharType="end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numPr>
          <w:ilvl w:val="0"/>
          <w:numId w:val="2"/>
        </w:numPr>
        <w:tabs>
          <w:tab w:val="left" w:leader="none" w:pos="360"/>
        </w:tabs>
        <w:ind w:left="360" w:hanging="219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Akademik Unvanlar: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7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49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aqsyyv177j2s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Yardımcı doçentlik tarihi: 12-3-2025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1"/>
        <w:numPr>
          <w:ilvl w:val="0"/>
          <w:numId w:val="2"/>
        </w:numPr>
        <w:tabs>
          <w:tab w:val="left" w:leader="none" w:pos="360"/>
        </w:tabs>
        <w:ind w:left="360" w:hanging="219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Yönetilen Yüksek Lisans ve Doktora Tezleri:</w:t>
        <w:br w:type="textWrapping"/>
        <w:t xml:space="preserve"> </w:t>
      </w:r>
    </w:p>
    <w:p w:rsidR="00000000" w:rsidDel="00000000" w:rsidP="00000000" w:rsidRDefault="00000000" w:rsidRPr="00000000" w14:paraId="00000021">
      <w:pPr>
        <w:pStyle w:val="Heading1"/>
        <w:numPr>
          <w:ilvl w:val="0"/>
          <w:numId w:val="2"/>
        </w:numPr>
        <w:tabs>
          <w:tab w:val="left" w:leader="none" w:pos="360"/>
        </w:tabs>
        <w:spacing w:before="1" w:lineRule="auto"/>
        <w:ind w:left="360" w:hanging="219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Yayınlar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4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56"/>
        </w:tabs>
        <w:spacing w:after="0" w:before="0" w:line="240" w:lineRule="auto"/>
        <w:ind w:left="956" w:right="0" w:hanging="388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Uluslararası hakemli dergilerde yayınlanan makaleler (SCI,SSCI,AHCI,ESCI,Scopus)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" w:line="240" w:lineRule="auto"/>
        <w:ind w:left="1138" w:right="0" w:hanging="59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ded0kc66nsuv" w:id="2"/>
      <w:bookmarkEnd w:id="2"/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Radwan, M. 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., Sin, Ç., Akkaya, N., &amp; Vahdettin, L. (2023). Artificial intelligence‐based algorithm for cervical vertebrae maturation stage assessment. Orthodontics &amp; Craniofacial Research, 26(3), 349-355.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" w:line="240" w:lineRule="auto"/>
        <w:ind w:left="1138" w:right="0" w:hanging="59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Moqbel, A.,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Radwan, M. 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., &amp; Altuğ, Z. (2025). Evaluating accuracy and reliability of mobile apps for cervical vertebral maturation staging in orthodontics: a pilot study: Evaluating accuracy and reliability of mobile apps for cervical vertebral maturation staging in orthodontics: a pilot study. British Dental Journal, 1-5. </w:t>
      </w:r>
    </w:p>
    <w:p w:rsidR="00000000" w:rsidDel="00000000" w:rsidP="00000000" w:rsidRDefault="00000000" w:rsidRPr="00000000" w14:paraId="00000026">
      <w:pPr>
        <w:pStyle w:val="Heading1"/>
        <w:numPr>
          <w:ilvl w:val="1"/>
          <w:numId w:val="2"/>
        </w:numPr>
        <w:tabs>
          <w:tab w:val="left" w:leader="none" w:pos="811"/>
        </w:tabs>
        <w:spacing w:before="239" w:lineRule="auto"/>
        <w:ind w:left="811" w:hanging="38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Uluslararası diğer hakemli dergilerde yayınlanan makaleler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" w:line="240" w:lineRule="auto"/>
        <w:ind w:left="1138" w:right="0" w:hanging="59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k3s977f2c3rp" w:id="3"/>
      <w:bookmarkEnd w:id="3"/>
      <w:r w:rsidDel="00000000" w:rsidR="00000000" w:rsidRPr="00000000">
        <w:rPr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Radwan, M. T.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Ghani, N. H., &amp; Yarkıner, Z. (2025). Assessing YouTube as a Source of Information on Primary Prevention of Dental Caries. Eurasian Dental Research, 3(2), 22-26.</w:t>
      </w:r>
    </w:p>
    <w:p w:rsidR="00000000" w:rsidDel="00000000" w:rsidP="00000000" w:rsidRDefault="00000000" w:rsidRPr="00000000" w14:paraId="00000029">
      <w:pPr>
        <w:ind w:left="849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849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849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849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849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numPr>
          <w:ilvl w:val="1"/>
          <w:numId w:val="2"/>
        </w:numPr>
        <w:tabs>
          <w:tab w:val="left" w:leader="none" w:pos="812"/>
        </w:tabs>
        <w:ind w:left="812" w:hanging="38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Uluslararası bilimsel toplantılarda sunulan ve bildiri kitabında basılan bildiriler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36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" w:line="360" w:lineRule="auto"/>
        <w:ind w:left="1138" w:right="0" w:hanging="59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4xg3bapz9flv" w:id="4"/>
      <w:bookmarkEnd w:id="4"/>
      <w:r w:rsidDel="00000000" w:rsidR="00000000" w:rsidRPr="00000000">
        <w:rPr>
          <w:b w:val="1"/>
          <w:rtl w:val="0"/>
        </w:rPr>
        <w:t xml:space="preserve">Radwan, M.T.</w:t>
      </w:r>
      <w:r w:rsidDel="00000000" w:rsidR="00000000" w:rsidRPr="00000000">
        <w:rPr>
          <w:rtl w:val="0"/>
        </w:rPr>
        <w:t xml:space="preserve">, Aksoy, S.G., Dıb, K., Alslakhi, M.H.R. (2019). Comparison in Volume of Maxillary, Frontal, and Sphenoid Sinuses Among Normal and OSA Patients. UAE International Dental Conference and Arab Dental Exhibition – AEEDC Dubai 2019, Dubai, UAE. (Poster)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" w:line="360" w:lineRule="auto"/>
        <w:ind w:left="1138" w:right="0" w:hanging="59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Hasoğlan, Ş.T., Ersalıcı, İ., </w:t>
      </w:r>
      <w:r w:rsidDel="00000000" w:rsidR="00000000" w:rsidRPr="00000000">
        <w:rPr>
          <w:b w:val="1"/>
          <w:rtl w:val="0"/>
        </w:rPr>
        <w:t xml:space="preserve">Radwan, M.T.</w:t>
      </w:r>
      <w:r w:rsidDel="00000000" w:rsidR="00000000" w:rsidRPr="00000000">
        <w:rPr>
          <w:rtl w:val="0"/>
        </w:rPr>
        <w:t xml:space="preserve">, Moqbel, A.A., Kamiloğlu, B. (2022). Treacher-Collins Sendromunda Klinik ve Radyolojik Bulgular: Sendrom Sunumu. Yakın Doğu Üniversitesi, Diş Hekimliği Fakültesi, Ortodonti Ana Bilim Dalı, Lefkoşa, KKTC. (Poster)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" w:line="360" w:lineRule="auto"/>
        <w:ind w:left="1138" w:right="0" w:hanging="598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Kachkool, G., &amp; </w:t>
      </w:r>
      <w:r w:rsidDel="00000000" w:rsidR="00000000" w:rsidRPr="00000000">
        <w:rPr>
          <w:b w:val="1"/>
          <w:rtl w:val="0"/>
        </w:rPr>
        <w:t xml:space="preserve">Radwan, M. T.</w:t>
      </w:r>
      <w:r w:rsidDel="00000000" w:rsidR="00000000" w:rsidRPr="00000000">
        <w:rPr>
          <w:rtl w:val="0"/>
        </w:rPr>
        <w:t xml:space="preserve"> (2025, September). Vast implementations of artificial intelligence in orthodontic workflows PosterpresentationPoster presentationPosterpresentation. 28th Turkish Dental Association International Dental Congress (EXPODENTAL 2025), Diyarbakır, Türkiye.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" w:line="360" w:lineRule="auto"/>
        <w:ind w:left="1138" w:right="0" w:hanging="59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Kachkool, G., &amp; </w:t>
      </w:r>
      <w:r w:rsidDel="00000000" w:rsidR="00000000" w:rsidRPr="00000000">
        <w:rPr>
          <w:b w:val="1"/>
          <w:rtl w:val="0"/>
        </w:rPr>
        <w:t xml:space="preserve">Radwan, M. T.</w:t>
      </w:r>
      <w:r w:rsidDel="00000000" w:rsidR="00000000" w:rsidRPr="00000000">
        <w:rPr>
          <w:rtl w:val="0"/>
        </w:rPr>
        <w:t xml:space="preserve"> (2025, September). The future of orthodontics: ChatGPT’s innovations unveiled Poster presentation Poster presentation Poster presentation. 28th Turkish Dental Association International Dental Congress (EXPODENTAL 2025), Diyarbakır, Türkiye.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9" w:line="360" w:lineRule="auto"/>
        <w:ind w:left="113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pStyle w:val="Heading1"/>
        <w:numPr>
          <w:ilvl w:val="1"/>
          <w:numId w:val="1"/>
        </w:numPr>
        <w:tabs>
          <w:tab w:val="left" w:leader="none" w:pos="812"/>
        </w:tabs>
        <w:spacing w:before="241" w:lineRule="auto"/>
        <w:ind w:left="784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Yazılan ulusal/uluslararası kitaplar veya kitaplarda bölümler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6"/>
        </w:tabs>
        <w:spacing w:after="0" w:before="0" w:line="240" w:lineRule="auto"/>
        <w:ind w:left="1406" w:right="0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1"/>
        <w:numPr>
          <w:ilvl w:val="1"/>
          <w:numId w:val="1"/>
        </w:numPr>
        <w:tabs>
          <w:tab w:val="left" w:leader="none" w:pos="812"/>
        </w:tabs>
        <w:spacing w:before="239" w:lineRule="auto"/>
        <w:ind w:left="784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Ulusal hakemli dergilerde yayınlanan makaleler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numPr>
          <w:ilvl w:val="0"/>
          <w:numId w:val="3"/>
        </w:numPr>
        <w:tabs>
          <w:tab w:val="left" w:leader="none" w:pos="643"/>
        </w:tabs>
        <w:ind w:left="647" w:hanging="22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Projeler</w:t>
        <w:br w:type="textWrapping"/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1"/>
        <w:numPr>
          <w:ilvl w:val="0"/>
          <w:numId w:val="3"/>
        </w:numPr>
        <w:tabs>
          <w:tab w:val="left" w:leader="none" w:pos="643"/>
        </w:tabs>
        <w:ind w:left="643" w:hanging="219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İdari Görevler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37"/>
        </w:tabs>
        <w:spacing w:after="0" w:before="64" w:line="240" w:lineRule="auto"/>
        <w:ind w:left="123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3F">
      <w:pPr>
        <w:pStyle w:val="Heading1"/>
        <w:numPr>
          <w:ilvl w:val="0"/>
          <w:numId w:val="3"/>
        </w:numPr>
        <w:tabs>
          <w:tab w:val="left" w:leader="none" w:pos="331"/>
        </w:tabs>
        <w:ind w:left="331" w:right="5175" w:hanging="331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Bilimsel ve Mesleki Kuruluşlara Üyelikler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0"/>
        </w:tabs>
        <w:spacing w:after="0" w:before="0" w:line="240" w:lineRule="auto"/>
        <w:ind w:left="140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numPr>
          <w:ilvl w:val="0"/>
          <w:numId w:val="3"/>
        </w:numPr>
        <w:tabs>
          <w:tab w:val="left" w:leader="none" w:pos="832"/>
        </w:tabs>
        <w:ind w:left="832" w:hanging="331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Ödüller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0"/>
        </w:tabs>
        <w:spacing w:after="0" w:before="0" w:line="240" w:lineRule="auto"/>
        <w:ind w:left="470" w:right="0" w:hanging="329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Son İki Yılda Verilen Lisans ve Lisansüstü Dersler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4.999999999998" w:type="dxa"/>
        <w:jc w:val="left"/>
        <w:tblInd w:w="13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31"/>
        <w:gridCol w:w="1392"/>
        <w:gridCol w:w="2855"/>
        <w:gridCol w:w="1134"/>
        <w:gridCol w:w="1139"/>
        <w:gridCol w:w="1184"/>
        <w:tblGridChange w:id="0">
          <w:tblGrid>
            <w:gridCol w:w="1431"/>
            <w:gridCol w:w="1392"/>
            <w:gridCol w:w="2855"/>
            <w:gridCol w:w="1134"/>
            <w:gridCol w:w="1139"/>
            <w:gridCol w:w="1184"/>
          </w:tblGrid>
        </w:tblGridChange>
      </w:tblGrid>
      <w:tr>
        <w:trPr>
          <w:cantSplit w:val="0"/>
          <w:trHeight w:val="234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7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Akademik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7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Yıl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6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Dönem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" w:right="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Dersin Adı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3" w:lineRule="auto"/>
              <w:ind w:left="57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Haftalık Saati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53" w:right="263" w:hanging="8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Öğrenci Sayısı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Teorik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2" w:right="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Uygulama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2024 - 2025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7" w:right="211" w:firstLine="258.99999999999994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DCR404 Orthodontic clinic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Introduction to Dentistry-Orthodontics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4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3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1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DTC500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Clear aligner therapy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33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DTC500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Presentation types and creation of presentation content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vMerge w:val="restart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2024 - 2025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DEC426- Digital Orthodontic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36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>
            <w:vMerge w:val="continue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DPC300 Preclinical orthodontics laboratory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36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vMerge w:val="continue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8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Bahar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14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DTC300: CS8 - Definition of orthodontics and its relationship with growth and development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8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173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vMerge w:val="continue"/>
            <w:tcBorders>
              <w:right w:color="000000" w:space="0" w:sz="6" w:val="single"/>
            </w:tcBorders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DTC300: CS8 -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Factors Influencing Malocclusion Etiology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98">
            <w:pPr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DTC300: CS8 -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Growth and Development of Dental Arches, Transition from Primary Dentition to Permanent Dentition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DTC300: CS8 -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Orthodontic Evaluation of the Stomatognathic System, Hormones and Habits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A4">
            <w:pPr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DTC300: CS8 - 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Orthodontic Tooth Movements and Its Histology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A">
            <w:pPr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Bahar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DTC300: CS8 - </w:t>
            </w:r>
            <w:hyperlink r:id="rId12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00"/>
                  <w:sz w:val="20"/>
                  <w:szCs w:val="20"/>
                  <w:u w:val="none"/>
                  <w:shd w:fill="auto" w:val="clear"/>
                  <w:vertAlign w:val="baseline"/>
                  <w:rtl w:val="0"/>
                </w:rPr>
                <w:t xml:space="preserve">Prenatal and postnatal growth and development of Cranium and Cranial Base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1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9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11" w:lineRule="auto"/>
              <w:ind w:left="17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4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2.99999999999997" w:lineRule="auto"/>
              <w:ind w:left="7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avyw2pf2uo7z" w:id="5"/>
            <w:bookmarkEnd w:id="5"/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Akademik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2.99999999999997" w:lineRule="auto"/>
              <w:ind w:left="7" w:right="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Yıl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46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Dönem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9" w:right="5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Dersin Adı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13" w:lineRule="auto"/>
              <w:ind w:left="57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Haftalık Saati</w:t>
            </w:r>
          </w:p>
        </w:tc>
        <w:tc>
          <w:tcPr>
            <w:vMerge w:val="restart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353" w:right="263" w:hanging="87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Öğrenci Sayısı</w:t>
            </w:r>
          </w:p>
        </w:tc>
      </w:tr>
      <w:tr>
        <w:trPr>
          <w:cantSplit w:val="0"/>
          <w:trHeight w:val="362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Teorik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2" w:line="240" w:lineRule="auto"/>
              <w:ind w:left="2" w:right="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Uygulama</w:t>
            </w:r>
          </w:p>
        </w:tc>
        <w:tc>
          <w:tcPr>
            <w:vMerge w:val="continue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restart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2025-2026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7" w:right="211" w:firstLine="258.99999999999994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2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DCR404 Orthodontic clinic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3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ve Bahar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217" w:right="211" w:firstLine="258.99999999999994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DCR504  Orthodontic clinic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DTC100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Introduction to Dentistry-Orthodontics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4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3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82</w:t>
            </w:r>
          </w:p>
        </w:tc>
      </w:tr>
      <w:tr>
        <w:trPr>
          <w:cantSplit w:val="0"/>
          <w:trHeight w:val="531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100 Dentistry in new age-Orthodontics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4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3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25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82</w:t>
            </w:r>
          </w:p>
        </w:tc>
      </w:tr>
      <w:tr>
        <w:trPr>
          <w:cantSplit w:val="0"/>
          <w:trHeight w:val="621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 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500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Clear aligner therapy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48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vMerge w:val="continue"/>
            <w:tcBorders>
              <w:top w:color="000000" w:space="0" w:sz="4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339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DEC426- Digital Orthodontic</w:t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24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29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DTC400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Preventive orthodontics and types of preventive orthodontics</w:t>
            </w:r>
          </w:p>
        </w:tc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F4">
            <w:pPr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DTC400 Appliances that apply extra-oral force to the mouth</w:t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/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DTC400 Fixed orthodontic treatment, 6 keys to occlusion and retention</w:t>
            </w:r>
          </w:p>
        </w:tc>
        <w:tc>
          <w:tcPr/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0" w:val="nil"/>
              <w:right w:color="000000" w:space="0" w:sz="6" w:val="single"/>
            </w:tcBorders>
          </w:tcPr>
          <w:p w:rsidR="00000000" w:rsidDel="00000000" w:rsidP="00000000" w:rsidRDefault="00000000" w:rsidRPr="00000000" w14:paraId="00000100">
            <w:pPr>
              <w:rPr>
                <w:rFonts w:ascii="Calibri" w:cs="Calibri" w:eastAsia="Calibri" w:hAnsi="Calibri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9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Güz</w:t>
            </w:r>
          </w:p>
        </w:tc>
        <w:tc>
          <w:tcPr/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5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DTC400 Orthodontic treatment of impacted teeth</w:t>
            </w:r>
          </w:p>
        </w:tc>
        <w:tc>
          <w:tcPr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2" w:right="2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3" w:line="240" w:lineRule="auto"/>
              <w:ind w:left="0" w:right="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50</w:t>
            </w:r>
          </w:p>
        </w:tc>
      </w:tr>
    </w:tbl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sectPr>
          <w:headerReference r:id="rId13" w:type="default"/>
          <w:pgSz w:h="16840" w:w="11910" w:orient="portrait"/>
          <w:pgMar w:bottom="280" w:top="1340" w:left="1275" w:right="992" w:header="751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340" w:left="1275" w:right="992" w:header="751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7"/>
      <w:numFmt w:val="decimal"/>
      <w:lvlText w:val="%1"/>
      <w:lvlJc w:val="left"/>
      <w:pPr>
        <w:ind w:left="360" w:hanging="360"/>
      </w:pPr>
      <w:rPr/>
    </w:lvl>
    <w:lvl w:ilvl="1">
      <w:start w:val="4"/>
      <w:numFmt w:val="decimal"/>
      <w:lvlText w:val="%1.%2"/>
      <w:lvlJc w:val="left"/>
      <w:pPr>
        <w:ind w:left="784" w:hanging="359.99999999999994"/>
      </w:pPr>
      <w:rPr/>
    </w:lvl>
    <w:lvl w:ilvl="2">
      <w:start w:val="1"/>
      <w:numFmt w:val="decimal"/>
      <w:lvlText w:val="%1.%2.%3"/>
      <w:lvlJc w:val="left"/>
      <w:pPr>
        <w:ind w:left="1568" w:hanging="719.9999999999999"/>
      </w:pPr>
      <w:rPr/>
    </w:lvl>
    <w:lvl w:ilvl="3">
      <w:start w:val="1"/>
      <w:numFmt w:val="decimal"/>
      <w:lvlText w:val="%1.%2.%3.%4"/>
      <w:lvlJc w:val="left"/>
      <w:pPr>
        <w:ind w:left="1992" w:hanging="720"/>
      </w:pPr>
      <w:rPr/>
    </w:lvl>
    <w:lvl w:ilvl="4">
      <w:start w:val="1"/>
      <w:numFmt w:val="decimal"/>
      <w:lvlText w:val="%1.%2.%3.%4.%5"/>
      <w:lvlJc w:val="left"/>
      <w:pPr>
        <w:ind w:left="2776" w:hanging="1079.9999999999998"/>
      </w:pPr>
      <w:rPr/>
    </w:lvl>
    <w:lvl w:ilvl="5">
      <w:start w:val="1"/>
      <w:numFmt w:val="decimal"/>
      <w:lvlText w:val="%1.%2.%3.%4.%5.%6"/>
      <w:lvlJc w:val="left"/>
      <w:pPr>
        <w:ind w:left="3200" w:hanging="1080"/>
      </w:pPr>
      <w:rPr/>
    </w:lvl>
    <w:lvl w:ilvl="6">
      <w:start w:val="1"/>
      <w:numFmt w:val="decimal"/>
      <w:lvlText w:val="%1.%2.%3.%4.%5.%6.%7"/>
      <w:lvlJc w:val="left"/>
      <w:pPr>
        <w:ind w:left="3984" w:hanging="1440"/>
      </w:pPr>
      <w:rPr/>
    </w:lvl>
    <w:lvl w:ilvl="7">
      <w:start w:val="1"/>
      <w:numFmt w:val="decimal"/>
      <w:lvlText w:val="%1.%2.%3.%4.%5.%6.%7.%8"/>
      <w:lvlJc w:val="left"/>
      <w:pPr>
        <w:ind w:left="4408" w:hanging="1440"/>
      </w:pPr>
      <w:rPr/>
    </w:lvl>
    <w:lvl w:ilvl="8">
      <w:start w:val="1"/>
      <w:numFmt w:val="decimal"/>
      <w:lvlText w:val="%1.%2.%3.%4.%5.%6.%7.%8.%9"/>
      <w:lvlJc w:val="left"/>
      <w:pPr>
        <w:ind w:left="5192" w:hanging="1799.9999999999995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2" w:hanging="221"/>
      </w:pPr>
      <w:rPr>
        <w:rFonts w:ascii="Calibri" w:cs="Calibri" w:eastAsia="Calibri" w:hAnsi="Calibri"/>
        <w:b w:val="1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38" w:hanging="598"/>
      </w:pPr>
      <w:rPr>
        <w:rFonts w:ascii="Calibri" w:cs="Calibri" w:eastAsia="Calibri" w:hAnsi="Calibri"/>
        <w:b w:val="1"/>
        <w:i w:val="0"/>
        <w:sz w:val="22"/>
        <w:szCs w:val="22"/>
      </w:rPr>
    </w:lvl>
    <w:lvl w:ilvl="3">
      <w:start w:val="0"/>
      <w:numFmt w:val="bullet"/>
      <w:lvlText w:val="•"/>
      <w:lvlJc w:val="left"/>
      <w:pPr>
        <w:ind w:left="1240" w:hanging="598"/>
      </w:pPr>
      <w:rPr/>
    </w:lvl>
    <w:lvl w:ilvl="4">
      <w:start w:val="0"/>
      <w:numFmt w:val="bullet"/>
      <w:lvlText w:val="•"/>
      <w:lvlJc w:val="left"/>
      <w:pPr>
        <w:ind w:left="1400" w:hanging="598"/>
      </w:pPr>
      <w:rPr/>
    </w:lvl>
    <w:lvl w:ilvl="5">
      <w:start w:val="0"/>
      <w:numFmt w:val="bullet"/>
      <w:lvlText w:val="•"/>
      <w:lvlJc w:val="left"/>
      <w:pPr>
        <w:ind w:left="1420" w:hanging="598"/>
      </w:pPr>
      <w:rPr/>
    </w:lvl>
    <w:lvl w:ilvl="6">
      <w:start w:val="0"/>
      <w:numFmt w:val="bullet"/>
      <w:lvlText w:val="•"/>
      <w:lvlJc w:val="left"/>
      <w:pPr>
        <w:ind w:left="3063" w:hanging="598"/>
      </w:pPr>
      <w:rPr/>
    </w:lvl>
    <w:lvl w:ilvl="7">
      <w:start w:val="0"/>
      <w:numFmt w:val="bullet"/>
      <w:lvlText w:val="•"/>
      <w:lvlJc w:val="left"/>
      <w:pPr>
        <w:ind w:left="4707" w:hanging="598"/>
      </w:pPr>
      <w:rPr/>
    </w:lvl>
    <w:lvl w:ilvl="8">
      <w:start w:val="0"/>
      <w:numFmt w:val="bullet"/>
      <w:lvlText w:val="•"/>
      <w:lvlJc w:val="left"/>
      <w:pPr>
        <w:ind w:left="6351" w:hanging="597.9999999999991"/>
      </w:pPr>
      <w:rPr/>
    </w:lvl>
  </w:abstractNum>
  <w:abstractNum w:abstractNumId="3">
    <w:lvl w:ilvl="0">
      <w:start w:val="8"/>
      <w:numFmt w:val="decimal"/>
      <w:lvlText w:val="%1."/>
      <w:lvlJc w:val="left"/>
      <w:pPr>
        <w:ind w:left="647" w:hanging="221"/>
      </w:pPr>
      <w:rPr>
        <w:rFonts w:ascii="Calibri" w:cs="Calibri" w:eastAsia="Calibri" w:hAnsi="Calibri"/>
        <w:b w:val="1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1240" w:hanging="392"/>
      </w:pPr>
      <w:rPr>
        <w:rFonts w:ascii="Calibri" w:cs="Calibri" w:eastAsia="Calibri" w:hAnsi="Calibri"/>
        <w:b w:val="1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849" w:hanging="597.9999999999999"/>
      </w:pPr>
      <w:rPr>
        <w:rFonts w:ascii="Calibri" w:cs="Calibri" w:eastAsia="Calibri" w:hAnsi="Calibri"/>
        <w:b w:val="1"/>
        <w:i w:val="0"/>
        <w:sz w:val="22"/>
        <w:szCs w:val="22"/>
      </w:rPr>
    </w:lvl>
    <w:lvl w:ilvl="3">
      <w:start w:val="0"/>
      <w:numFmt w:val="bullet"/>
      <w:lvlText w:val="•"/>
      <w:lvlJc w:val="left"/>
      <w:pPr>
        <w:ind w:left="1240" w:hanging="598"/>
      </w:pPr>
      <w:rPr/>
    </w:lvl>
    <w:lvl w:ilvl="4">
      <w:start w:val="0"/>
      <w:numFmt w:val="bullet"/>
      <w:lvlText w:val="•"/>
      <w:lvlJc w:val="left"/>
      <w:pPr>
        <w:ind w:left="1400" w:hanging="598"/>
      </w:pPr>
      <w:rPr/>
    </w:lvl>
    <w:lvl w:ilvl="5">
      <w:start w:val="0"/>
      <w:numFmt w:val="bullet"/>
      <w:lvlText w:val="•"/>
      <w:lvlJc w:val="left"/>
      <w:pPr>
        <w:ind w:left="1420" w:hanging="598"/>
      </w:pPr>
      <w:rPr/>
    </w:lvl>
    <w:lvl w:ilvl="6">
      <w:start w:val="0"/>
      <w:numFmt w:val="bullet"/>
      <w:lvlText w:val="•"/>
      <w:lvlJc w:val="left"/>
      <w:pPr>
        <w:ind w:left="3063" w:hanging="598"/>
      </w:pPr>
      <w:rPr/>
    </w:lvl>
    <w:lvl w:ilvl="7">
      <w:start w:val="0"/>
      <w:numFmt w:val="bullet"/>
      <w:lvlText w:val="•"/>
      <w:lvlJc w:val="left"/>
      <w:pPr>
        <w:ind w:left="4707" w:hanging="598"/>
      </w:pPr>
      <w:rPr/>
    </w:lvl>
    <w:lvl w:ilvl="8">
      <w:start w:val="0"/>
      <w:numFmt w:val="bullet"/>
      <w:lvlText w:val="•"/>
      <w:lvlJc w:val="left"/>
      <w:pPr>
        <w:ind w:left="6351" w:hanging="597.9999999999991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t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60" w:hanging="219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spacing w:before="239"/>
      <w:ind w:left="849"/>
      <w:jc w:val="both"/>
    </w:pPr>
  </w:style>
  <w:style w:type="paragraph" w:styleId="ListParagraph">
    <w:name w:val="List Paragraph"/>
    <w:basedOn w:val="Normal"/>
    <w:uiPriority w:val="1"/>
    <w:qFormat w:val="1"/>
    <w:pPr>
      <w:spacing w:before="239"/>
      <w:ind w:left="849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jc w:val="center"/>
    </w:pPr>
  </w:style>
  <w:style w:type="paragraph" w:styleId="Header">
    <w:name w:val="header"/>
    <w:basedOn w:val="Normal"/>
    <w:link w:val="HeaderChar"/>
    <w:uiPriority w:val="99"/>
    <w:unhideWhenUsed w:val="1"/>
    <w:rsid w:val="0044540D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4540D"/>
    <w:rPr>
      <w:rFonts w:ascii="Calibri" w:cs="Calibri" w:eastAsia="Calibri" w:hAnsi="Calibri"/>
      <w:lang w:val="tr-TR"/>
    </w:rPr>
  </w:style>
  <w:style w:type="paragraph" w:styleId="Footer">
    <w:name w:val="footer"/>
    <w:basedOn w:val="Normal"/>
    <w:link w:val="FooterChar"/>
    <w:uiPriority w:val="99"/>
    <w:unhideWhenUsed w:val="1"/>
    <w:rsid w:val="0044540D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4540D"/>
    <w:rPr>
      <w:rFonts w:ascii="Calibri" w:cs="Calibri" w:eastAsia="Calibri" w:hAnsi="Calibri"/>
      <w:lang w:val="tr-TR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5B1BB8"/>
    <w:rPr>
      <w:rFonts w:asciiTheme="majorHAnsi" w:cstheme="majorBidi" w:eastAsiaTheme="majorEastAsia" w:hAnsiTheme="majorHAnsi"/>
      <w:color w:val="243f60" w:themeColor="accent1" w:themeShade="00007F"/>
      <w:sz w:val="24"/>
      <w:szCs w:val="24"/>
      <w:lang w:val="tr-TR"/>
    </w:rPr>
  </w:style>
  <w:style w:type="character" w:styleId="Hyperlink">
    <w:name w:val="Hyperlink"/>
    <w:basedOn w:val="DefaultParagraphFont"/>
    <w:uiPriority w:val="99"/>
    <w:unhideWhenUsed w:val="1"/>
    <w:rsid w:val="005B1BB8"/>
    <w:rPr>
      <w:color w:val="0000ff"/>
      <w:u w:val="single"/>
    </w:rPr>
  </w:style>
  <w:style w:type="character" w:styleId="Emphasis">
    <w:name w:val="Emphasis"/>
    <w:basedOn w:val="DefaultParagraphFont"/>
    <w:uiPriority w:val="20"/>
    <w:qFormat w:val="1"/>
    <w:rsid w:val="00B47A2C"/>
    <w:rPr>
      <w:i w:val="1"/>
      <w:iCs w:val="1"/>
    </w:rPr>
  </w:style>
  <w:style w:type="character" w:styleId="katex-mathml" w:customStyle="1">
    <w:name w:val="katex-mathml"/>
    <w:basedOn w:val="DefaultParagraphFont"/>
    <w:rsid w:val="00B47A2C"/>
  </w:style>
  <w:style w:type="character" w:styleId="mord" w:customStyle="1">
    <w:name w:val="mord"/>
    <w:basedOn w:val="DefaultParagraphFont"/>
    <w:rsid w:val="00B47A2C"/>
  </w:style>
  <w:style w:type="character" w:styleId="Strong">
    <w:name w:val="Strong"/>
    <w:basedOn w:val="DefaultParagraphFont"/>
    <w:uiPriority w:val="22"/>
    <w:qFormat w:val="1"/>
    <w:rsid w:val="00B47A2C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B47A2C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04AB4"/>
    <w:rPr>
      <w:color w:val="605e5c"/>
      <w:shd w:color="auto" w:fill="e1dfdd" w:val="clear"/>
    </w:rPr>
  </w:style>
  <w:style w:type="paragraph" w:styleId="Caption">
    <w:name w:val="caption"/>
    <w:basedOn w:val="Normal"/>
    <w:next w:val="Normal"/>
    <w:uiPriority w:val="35"/>
    <w:unhideWhenUsed w:val="1"/>
    <w:qFormat w:val="1"/>
    <w:rsid w:val="00604AB4"/>
    <w:pPr>
      <w:spacing w:after="200"/>
    </w:pPr>
    <w:rPr>
      <w:i w:val="1"/>
      <w:iCs w:val="1"/>
      <w:color w:val="1f497d" w:themeColor="text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keypsdentistry.neu.edu.tr/n/competence/577/profile" TargetMode="External"/><Relationship Id="rId10" Type="http://schemas.openxmlformats.org/officeDocument/2006/relationships/hyperlink" Target="https://keypsdentistry.neu.edu.tr/n/competence/578/profile" TargetMode="External"/><Relationship Id="rId13" Type="http://schemas.openxmlformats.org/officeDocument/2006/relationships/header" Target="header1.xml"/><Relationship Id="rId12" Type="http://schemas.openxmlformats.org/officeDocument/2006/relationships/hyperlink" Target="https://keypsdentistry.neu.edu.tr/n/competence/584/profile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keypsdentistry.neu.edu.tr/n/competence/585/profil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iu.edu.tr/tr/dis-hekimligi-fakultesi/levent-vahdettin" TargetMode="External"/><Relationship Id="rId8" Type="http://schemas.openxmlformats.org/officeDocument/2006/relationships/hyperlink" Target="https://keypsdentistry.neu.edu.tr/n/competence/576/prof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lfRmLm6XbbKakCnPYWpP8IPl0g==">CgMxLjAyDmguNHptNG5nY3R0N2RqMg5oLmFxc3l5djE3N2oyczIOaC5kZWQwa2M2Nm5zdXYyDmguazNzOTc3ZjJjM3JwMg5oLjR4ZzNiYXB6OWZsdjIOaC5hdnl3MnBmMnVvN3o4AHIhMS1FX252aC1BS2QyWnpYWDBoTVFoZlNONGlYMF9DMGFa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2025-05-06T09:45:00Z</dcterms:created>
  <dc:creator>Sevcan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2025-05-02T00:00:00Z</vt:filetime>
  </property>
  <property fmtid="{D5CDD505-2E9C-101B-9397-08002B2CF9AE}" pid="5" name="Producer">
    <vt:lpwstr>Microsoft® Word Microsoft 365 için</vt:lpwstr>
  </property>
  <property fmtid="{D5CDD505-2E9C-101B-9397-08002B2CF9AE}" pid="6" name="GrammarlyDocumentId">
    <vt:lpwstr>29c19fcd-bc35-4ce0-9df9-4d0acadc91f5</vt:lpwstr>
  </property>
</Properties>
</file>