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Name Surname: TEZCAN MUSLU BESİM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Title: Assistant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Dentistry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Department of Prosthodontics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bCs w:val="1"/>
          <w:rtl w:val="0"/>
        </w:rPr>
        <w:t xml:space="preserve">PhD Thesis /Medical Specialty Thesis Title and Advisor(s): </w:t>
      </w:r>
      <w:r w:rsidDel="00000000" w:rsidR="00000000" w:rsidRPr="00000000">
        <w:rPr>
          <w:rtl w:val="0"/>
        </w:rPr>
        <w:t xml:space="preserve">Evaluation of the Effect of Implant Depth and Angulation on the Accuracy and Precision of Digital Impressions in Full-Arch Edentulous Cases (2025). Prof. Dr. Sevcan Kurtulmuş Yılmaz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Titles: -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Date of Assistant Professorship: February 26, 2026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Date of Associate Professorship: -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Supervised Master’s and PhD Theses: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240" w:hanging="39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PhD Theses 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Kurtulmus-Yilmaz, S., Muslu, T., &amp; Önöral, Ö. (2025).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use of scan aid improve the 3D trueness of digital implant impressions with different inter-implant distances?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Cyprus Journal of Medical Sciences.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Muslu, T., Önöral, Ö., &amp; Kurtulmus-Yilmaz, S. (2025).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implant placement depth influence the accuracy of digital impressions?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Journal of Advanced Prosthodontics. (In press)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Muslu, T., &amp; Kurtulmus-Yilmaz, S. (2025).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 of implant angulation on the trueness and precision of intraoral scanning and photogrammetry.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BMC Oral Health. (In press)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Muslu, T., Kurtulmus-Yilmaz, S., Önöral, Ö., &amp; Ozan, O. (2022).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Effects of scan body material, intraoral scanner type, and operator experience on the trueness of digital impressions obtained from parallel and angled implants.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TDB International Congress, Istanbul, Türkiye.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(Oral Presentation).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Muslu, T., Kurtulmus-Yilmaz, S., &amp; Önöral, Ö. (2022).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Relationship between systemic diseases and oral health in geriatric individuals.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3rd Scientific Days, Faculty of Health Sciences, Near East University, Nicosia, TRNC.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(Oral Presentation).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Kurtulmus-Yilmaz, S., Muslu, T., &amp; Önöral, Ö. (2024).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use of Scan Aid improve the 3D trueness of digital implant impressions with different inter-implant distances?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1st International DESAM Biotechnology Congress, Near East University, Nicosia, TRNC.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(Oral Presentation).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7.3.4.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Aktug Ancın, H., Muslu, T., &amp; Arkoy, S. (2025).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Esthetic rehabilitation of a congenitally missing lateral incisor with a lithium disilicate adhesive bridge.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48th European Prosthodontic Association (EPA) &amp; 27th Turkish Prosthodontics and Implantology Association (TPID) Joint Meeting, Antalya, Türkiye.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(Poster Presentation).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5">
      <w:pPr>
        <w:ind w:left="9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7.4.1 -</w:t>
      </w:r>
    </w:p>
    <w:p w:rsidR="00000000" w:rsidDel="00000000" w:rsidP="00000000" w:rsidRDefault="00000000" w:rsidRPr="00000000" w14:paraId="00000036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 -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Coordinator of the 1st Year Turkish Program, Faculty of Dentistry, Near East University (2025–Present).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Cyprus Turkish Medical Association (2021–Present)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Cyprus Turkish Dental Association (KTDTO) (2021–Present)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Practical Committees – 1st Year Turkish Program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Anatomy and Morphology (1st Year – Turkish Program, Theoretical Committees)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138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Dentistry (1st Year – Turkish Program, Theoretical Committees)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138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Dentistry (1st Year – English Program, Theoretical Committees)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Dental Anatomy and Morphology (1st Year – English Program, Theoretical Committees)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 (Turkish Program) Theoritical Committees- Geriatric and Maxillofacial Prosthesis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 (English Program) Theoritical Committees- Geriatric and Maxillofacial Prosthesis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4530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30.04.2026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45307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453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6qjSK1avj9zbsg0Ba0o9j8hdw==">CgMxLjA4AHIhMXBCdUNSZWVNcGJuZTVObVdZUFlMWmp2b1d1aFdWOW5Q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